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071F92" w14:textId="13126FFC" w:rsidR="008117C9" w:rsidRDefault="00416869" w:rsidP="00416869">
      <w:pPr>
        <w:pStyle w:val="Heading1"/>
        <w:spacing w:before="0"/>
      </w:pPr>
      <w:r>
        <w:t>The CQS Manual – Document List</w:t>
      </w:r>
    </w:p>
    <w:p w14:paraId="53FFEB62" w14:textId="0A088CF9" w:rsidR="00416869" w:rsidRPr="00416869" w:rsidRDefault="00416869" w:rsidP="00416869">
      <w:pPr>
        <w:pStyle w:val="Heading3"/>
      </w:pPr>
      <w:r>
        <w:t>March 2025</w:t>
      </w:r>
    </w:p>
    <w:p w14:paraId="20F2EAF9" w14:textId="77777777" w:rsidR="00416869" w:rsidRDefault="00416869" w:rsidP="00416869">
      <w:pPr>
        <w:pStyle w:val="Heading2"/>
      </w:pPr>
      <w:bookmarkStart w:id="0" w:name="_Toc397076785"/>
    </w:p>
    <w:p w14:paraId="0DE62BD6" w14:textId="476EE648" w:rsidR="008117C9" w:rsidRDefault="00416869" w:rsidP="00416869">
      <w:pPr>
        <w:pStyle w:val="Heading2"/>
      </w:pPr>
      <w:r>
        <w:t xml:space="preserve">Section 1 </w:t>
      </w:r>
      <w:r w:rsidR="009F073E">
        <w:t>-</w:t>
      </w:r>
      <w:r>
        <w:t xml:space="preserve"> Structure and Strategy</w:t>
      </w:r>
    </w:p>
    <w:p w14:paraId="672A4E50" w14:textId="77777777" w:rsidR="00FD517A" w:rsidRPr="00881683" w:rsidRDefault="00FD517A" w:rsidP="00881683">
      <w:pPr>
        <w:spacing w:after="0" w:line="276" w:lineRule="auto"/>
        <w:ind w:left="720" w:hanging="720"/>
        <w:rPr>
          <w:rFonts w:ascii="Calibri" w:hAnsi="Calibri" w:cs="Calibri"/>
        </w:rPr>
      </w:pPr>
      <w:bookmarkStart w:id="1" w:name="_Toc176253016"/>
      <w:r w:rsidRPr="00881683">
        <w:rPr>
          <w:rFonts w:ascii="Calibri" w:hAnsi="Calibri" w:cs="Calibri"/>
        </w:rPr>
        <w:t>1.1</w:t>
      </w:r>
      <w:r w:rsidRPr="00881683">
        <w:rPr>
          <w:rFonts w:ascii="Calibri" w:hAnsi="Calibri" w:cs="Calibri"/>
        </w:rPr>
        <w:tab/>
        <w:t>Management Structure, Roles and Responsibilities Within the Residential Conveyancing Department</w:t>
      </w:r>
      <w:bookmarkEnd w:id="1"/>
    </w:p>
    <w:p w14:paraId="5D0B4062" w14:textId="77777777" w:rsidR="00FD517A" w:rsidRPr="00881683" w:rsidRDefault="00FD517A" w:rsidP="00881683">
      <w:pPr>
        <w:spacing w:after="0" w:line="276" w:lineRule="auto"/>
        <w:jc w:val="both"/>
        <w:rPr>
          <w:rFonts w:ascii="Calibri" w:hAnsi="Calibri" w:cs="Calibri"/>
        </w:rPr>
      </w:pPr>
      <w:bookmarkStart w:id="2" w:name="_Toc176253017"/>
      <w:r w:rsidRPr="00881683">
        <w:rPr>
          <w:rFonts w:ascii="Calibri" w:hAnsi="Calibri" w:cs="Calibri"/>
        </w:rPr>
        <w:t>1.2.1</w:t>
      </w:r>
      <w:r w:rsidRPr="00881683">
        <w:rPr>
          <w:rFonts w:ascii="Calibri" w:hAnsi="Calibri" w:cs="Calibri"/>
        </w:rPr>
        <w:tab/>
        <w:t>Business Continuity Planning</w:t>
      </w:r>
      <w:bookmarkEnd w:id="2"/>
      <w:r w:rsidRPr="00881683">
        <w:rPr>
          <w:rFonts w:ascii="Calibri" w:hAnsi="Calibri" w:cs="Calibri"/>
        </w:rPr>
        <w:t xml:space="preserve"> Policy</w:t>
      </w:r>
    </w:p>
    <w:p w14:paraId="13B1C9F8" w14:textId="77777777" w:rsidR="00FD517A" w:rsidRPr="00881683" w:rsidRDefault="00FD517A" w:rsidP="00881683">
      <w:pPr>
        <w:spacing w:after="0" w:line="276" w:lineRule="auto"/>
        <w:jc w:val="both"/>
        <w:rPr>
          <w:rFonts w:ascii="Calibri" w:hAnsi="Calibri" w:cs="Calibri"/>
        </w:rPr>
      </w:pPr>
      <w:bookmarkStart w:id="3" w:name="_Toc176253018"/>
      <w:r w:rsidRPr="00881683">
        <w:rPr>
          <w:rFonts w:ascii="Calibri" w:hAnsi="Calibri" w:cs="Calibri"/>
        </w:rPr>
        <w:t>1.2.2</w:t>
      </w:r>
      <w:r w:rsidRPr="00881683">
        <w:rPr>
          <w:rFonts w:ascii="Calibri" w:hAnsi="Calibri" w:cs="Calibri"/>
        </w:rPr>
        <w:tab/>
        <w:t>Business Continuity Plan</w:t>
      </w:r>
      <w:bookmarkStart w:id="4" w:name="_Toc176253019"/>
      <w:bookmarkEnd w:id="3"/>
    </w:p>
    <w:p w14:paraId="4445F302" w14:textId="70C8A5FD" w:rsidR="009F073E" w:rsidRPr="00881683" w:rsidRDefault="00FD517A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>1.2.3</w:t>
      </w:r>
      <w:r w:rsidRPr="00881683">
        <w:rPr>
          <w:rFonts w:ascii="Calibri" w:hAnsi="Calibri" w:cs="Calibri"/>
        </w:rPr>
        <w:tab/>
        <w:t>Testing the Business Continuity Plan</w:t>
      </w:r>
      <w:bookmarkEnd w:id="4"/>
      <w:r w:rsidRPr="00881683">
        <w:rPr>
          <w:rFonts w:ascii="Calibri" w:hAnsi="Calibri" w:cs="Calibri"/>
        </w:rPr>
        <w:t xml:space="preserve"> Procedure</w:t>
      </w:r>
    </w:p>
    <w:p w14:paraId="7E212EAF" w14:textId="77777777" w:rsidR="005F7F7F" w:rsidRDefault="005F7F7F" w:rsidP="00B54477">
      <w:pPr>
        <w:pStyle w:val="Heading2"/>
      </w:pPr>
    </w:p>
    <w:p w14:paraId="52654063" w14:textId="5A154C69" w:rsidR="006B0482" w:rsidRDefault="006B0482" w:rsidP="00B54477">
      <w:pPr>
        <w:pStyle w:val="Heading2"/>
      </w:pPr>
      <w:r w:rsidRPr="00B54477">
        <w:t>Section 2 - Financial Management</w:t>
      </w:r>
    </w:p>
    <w:p w14:paraId="3A40E356" w14:textId="77777777" w:rsidR="00C963C5" w:rsidRPr="00881683" w:rsidRDefault="00C963C5" w:rsidP="00881683">
      <w:pPr>
        <w:spacing w:after="0" w:line="276" w:lineRule="auto"/>
        <w:jc w:val="both"/>
        <w:rPr>
          <w:rFonts w:ascii="Calibri" w:hAnsi="Calibri" w:cs="Calibri"/>
        </w:rPr>
      </w:pPr>
      <w:bookmarkStart w:id="5" w:name="_Toc176253021"/>
      <w:r w:rsidRPr="00881683">
        <w:rPr>
          <w:rFonts w:ascii="Calibri" w:hAnsi="Calibri" w:cs="Calibri"/>
        </w:rPr>
        <w:t>2.1</w:t>
      </w:r>
      <w:r w:rsidRPr="00881683">
        <w:rPr>
          <w:rFonts w:ascii="Calibri" w:hAnsi="Calibri" w:cs="Calibri"/>
          <w:b/>
          <w:bCs/>
        </w:rPr>
        <w:tab/>
      </w:r>
      <w:r w:rsidRPr="00881683">
        <w:rPr>
          <w:rFonts w:ascii="Calibri" w:hAnsi="Calibri" w:cs="Calibri"/>
        </w:rPr>
        <w:t>Financial Management Responsibility Structure</w:t>
      </w:r>
      <w:bookmarkEnd w:id="5"/>
      <w:r w:rsidRPr="00881683">
        <w:rPr>
          <w:rFonts w:ascii="Calibri" w:hAnsi="Calibri" w:cs="Calibri"/>
        </w:rPr>
        <w:t xml:space="preserve"> </w:t>
      </w:r>
    </w:p>
    <w:p w14:paraId="665E27DE" w14:textId="77777777" w:rsidR="00C963C5" w:rsidRPr="00881683" w:rsidRDefault="00C963C5" w:rsidP="00881683">
      <w:pPr>
        <w:spacing w:after="0" w:line="276" w:lineRule="auto"/>
        <w:jc w:val="both"/>
        <w:rPr>
          <w:rFonts w:ascii="Calibri" w:hAnsi="Calibri" w:cs="Calibri"/>
        </w:rPr>
      </w:pPr>
      <w:bookmarkStart w:id="6" w:name="_Toc176253022"/>
      <w:r w:rsidRPr="00881683">
        <w:rPr>
          <w:rFonts w:ascii="Calibri" w:hAnsi="Calibri" w:cs="Calibri"/>
        </w:rPr>
        <w:t>2.2</w:t>
      </w:r>
      <w:r w:rsidRPr="00881683">
        <w:rPr>
          <w:rFonts w:ascii="Calibri" w:hAnsi="Calibri" w:cs="Calibri"/>
        </w:rPr>
        <w:tab/>
        <w:t>Financial Management at Practice Level</w:t>
      </w:r>
      <w:bookmarkEnd w:id="6"/>
      <w:r w:rsidRPr="00881683">
        <w:rPr>
          <w:rFonts w:ascii="Calibri" w:hAnsi="Calibri" w:cs="Calibri"/>
        </w:rPr>
        <w:t xml:space="preserve"> Procedure </w:t>
      </w:r>
    </w:p>
    <w:p w14:paraId="6D565710" w14:textId="161D9CA3" w:rsidR="009F073E" w:rsidRPr="00881683" w:rsidRDefault="00C963C5" w:rsidP="00881683">
      <w:pPr>
        <w:spacing w:after="0" w:line="276" w:lineRule="auto"/>
        <w:jc w:val="both"/>
        <w:rPr>
          <w:rFonts w:ascii="Calibri" w:hAnsi="Calibri" w:cs="Calibri"/>
        </w:rPr>
      </w:pPr>
      <w:bookmarkStart w:id="7" w:name="_Toc176253023"/>
      <w:r w:rsidRPr="00881683">
        <w:rPr>
          <w:rFonts w:ascii="Calibri" w:hAnsi="Calibri" w:cs="Calibri"/>
        </w:rPr>
        <w:t>2.3</w:t>
      </w:r>
      <w:r w:rsidRPr="00881683">
        <w:rPr>
          <w:rFonts w:ascii="Calibri" w:hAnsi="Calibri" w:cs="Calibri"/>
        </w:rPr>
        <w:tab/>
        <w:t>Financial Management at Matter Level</w:t>
      </w:r>
      <w:bookmarkEnd w:id="7"/>
      <w:r w:rsidRPr="00881683">
        <w:rPr>
          <w:rFonts w:ascii="Calibri" w:hAnsi="Calibri" w:cs="Calibri"/>
        </w:rPr>
        <w:t xml:space="preserve"> Procedure</w:t>
      </w:r>
    </w:p>
    <w:p w14:paraId="22B5A4B2" w14:textId="77777777" w:rsidR="005F7F7F" w:rsidRDefault="005F7F7F" w:rsidP="00B54477">
      <w:pPr>
        <w:pStyle w:val="Heading2"/>
      </w:pPr>
    </w:p>
    <w:p w14:paraId="02B05391" w14:textId="5A08E7E8" w:rsidR="00066398" w:rsidRDefault="00066398" w:rsidP="00B54477">
      <w:pPr>
        <w:pStyle w:val="Heading2"/>
      </w:pPr>
      <w:r w:rsidRPr="00B54477">
        <w:t>Section 3</w:t>
      </w:r>
      <w:r w:rsidR="009F073E">
        <w:t xml:space="preserve"> -</w:t>
      </w:r>
      <w:r w:rsidRPr="00B54477">
        <w:t xml:space="preserve"> Information Management</w:t>
      </w:r>
    </w:p>
    <w:p w14:paraId="0383126D" w14:textId="77777777" w:rsidR="005F7F7F" w:rsidRPr="00881683" w:rsidRDefault="005F7F7F" w:rsidP="00881683">
      <w:pPr>
        <w:spacing w:after="0" w:line="276" w:lineRule="auto"/>
        <w:jc w:val="both"/>
        <w:rPr>
          <w:rFonts w:ascii="Calibri" w:hAnsi="Calibri" w:cs="Calibri"/>
        </w:rPr>
      </w:pPr>
      <w:bookmarkStart w:id="8" w:name="_Toc176253025"/>
      <w:r w:rsidRPr="00881683">
        <w:rPr>
          <w:rFonts w:ascii="Calibri" w:hAnsi="Calibri" w:cs="Calibri"/>
        </w:rPr>
        <w:t>3.1</w:t>
      </w:r>
      <w:r w:rsidRPr="00881683">
        <w:rPr>
          <w:rFonts w:ascii="Calibri" w:hAnsi="Calibri" w:cs="Calibri"/>
          <w:b/>
          <w:bCs/>
        </w:rPr>
        <w:tab/>
      </w:r>
      <w:r w:rsidRPr="00881683">
        <w:rPr>
          <w:rFonts w:ascii="Calibri" w:hAnsi="Calibri" w:cs="Calibri"/>
        </w:rPr>
        <w:t>Data Protection, GDPR</w:t>
      </w:r>
      <w:bookmarkEnd w:id="8"/>
      <w:r w:rsidRPr="00881683">
        <w:rPr>
          <w:rFonts w:ascii="Calibri" w:hAnsi="Calibri" w:cs="Calibri"/>
        </w:rPr>
        <w:t xml:space="preserve"> </w:t>
      </w:r>
      <w:bookmarkStart w:id="9" w:name="_Toc176253026"/>
      <w:r w:rsidRPr="00881683">
        <w:rPr>
          <w:rFonts w:ascii="Calibri" w:hAnsi="Calibri" w:cs="Calibri"/>
        </w:rPr>
        <w:t>and File Retention and Destruction Policy</w:t>
      </w:r>
    </w:p>
    <w:p w14:paraId="566696AB" w14:textId="77777777" w:rsidR="005F7F7F" w:rsidRPr="00881683" w:rsidRDefault="005F7F7F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>3.2.1</w:t>
      </w:r>
      <w:r w:rsidRPr="00881683">
        <w:rPr>
          <w:rFonts w:ascii="Calibri" w:hAnsi="Calibri" w:cs="Calibri"/>
        </w:rPr>
        <w:tab/>
        <w:t>Information Management and Security Polic</w:t>
      </w:r>
      <w:bookmarkEnd w:id="9"/>
      <w:r w:rsidRPr="00881683">
        <w:rPr>
          <w:rFonts w:ascii="Calibri" w:hAnsi="Calibri" w:cs="Calibri"/>
        </w:rPr>
        <w:t>y</w:t>
      </w:r>
    </w:p>
    <w:p w14:paraId="38AF0B5E" w14:textId="77777777" w:rsidR="005F7F7F" w:rsidRPr="00881683" w:rsidRDefault="005F7F7F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>3.2.2</w:t>
      </w:r>
      <w:r w:rsidRPr="00881683">
        <w:rPr>
          <w:rFonts w:ascii="Calibri" w:hAnsi="Calibri" w:cs="Calibri"/>
        </w:rPr>
        <w:tab/>
        <w:t>Cyber Awareness and Training</w:t>
      </w:r>
      <w:bookmarkStart w:id="10" w:name="_Toc176253027"/>
      <w:r w:rsidRPr="00881683">
        <w:rPr>
          <w:rFonts w:ascii="Calibri" w:hAnsi="Calibri" w:cs="Calibri"/>
        </w:rPr>
        <w:t xml:space="preserve"> Plan</w:t>
      </w:r>
    </w:p>
    <w:p w14:paraId="2E53E88C" w14:textId="77777777" w:rsidR="005F7F7F" w:rsidRPr="00881683" w:rsidRDefault="005F7F7F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 xml:space="preserve">3.3.1 </w:t>
      </w:r>
      <w:r w:rsidRPr="00881683">
        <w:rPr>
          <w:rFonts w:ascii="Calibri" w:hAnsi="Calibri" w:cs="Calibri"/>
        </w:rPr>
        <w:tab/>
        <w:t>Register of Each Plan, Policy and Procedure in this CQS Manual</w:t>
      </w:r>
      <w:bookmarkStart w:id="11" w:name="_Toc176253028"/>
      <w:bookmarkEnd w:id="10"/>
    </w:p>
    <w:p w14:paraId="640CFCB4" w14:textId="77777777" w:rsidR="005F7F7F" w:rsidRPr="00881683" w:rsidRDefault="005F7F7F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>3.3.2</w:t>
      </w:r>
      <w:r w:rsidRPr="00881683">
        <w:rPr>
          <w:rFonts w:ascii="Calibri" w:hAnsi="Calibri" w:cs="Calibri"/>
        </w:rPr>
        <w:tab/>
        <w:t>Review of CQS Documents Procedure</w:t>
      </w:r>
      <w:bookmarkEnd w:id="11"/>
    </w:p>
    <w:p w14:paraId="371CBBA7" w14:textId="77777777" w:rsidR="009F073E" w:rsidRPr="009F073E" w:rsidRDefault="009F073E" w:rsidP="009F073E"/>
    <w:p w14:paraId="5EB9AB94" w14:textId="69531972" w:rsidR="00B54477" w:rsidRDefault="00B54477" w:rsidP="009F073E">
      <w:pPr>
        <w:pStyle w:val="Heading2"/>
      </w:pPr>
      <w:r w:rsidRPr="009F073E">
        <w:t xml:space="preserve">Section 4 </w:t>
      </w:r>
      <w:r w:rsidR="009F073E">
        <w:t>-</w:t>
      </w:r>
      <w:r w:rsidRPr="009F073E">
        <w:t xml:space="preserve"> People Management</w:t>
      </w:r>
    </w:p>
    <w:p w14:paraId="6605BC7C" w14:textId="77777777" w:rsidR="00CE7EC3" w:rsidRPr="00881683" w:rsidRDefault="00CE7EC3" w:rsidP="00881683">
      <w:pPr>
        <w:spacing w:after="0" w:line="276" w:lineRule="auto"/>
        <w:jc w:val="both"/>
        <w:rPr>
          <w:rFonts w:ascii="Calibri" w:hAnsi="Calibri" w:cs="Calibri"/>
        </w:rPr>
      </w:pPr>
      <w:bookmarkStart w:id="12" w:name="_Toc176253030"/>
      <w:r w:rsidRPr="00881683">
        <w:rPr>
          <w:rFonts w:ascii="Calibri" w:hAnsi="Calibri" w:cs="Calibri"/>
        </w:rPr>
        <w:t>4.1.1</w:t>
      </w:r>
      <w:r w:rsidRPr="00881683">
        <w:rPr>
          <w:rFonts w:ascii="Calibri" w:hAnsi="Calibri" w:cs="Calibri"/>
        </w:rPr>
        <w:tab/>
        <w:t>Learning and Development Policy</w:t>
      </w:r>
      <w:bookmarkEnd w:id="12"/>
      <w:r w:rsidRPr="00881683">
        <w:rPr>
          <w:rFonts w:ascii="Calibri" w:hAnsi="Calibri" w:cs="Calibri"/>
        </w:rPr>
        <w:t xml:space="preserve"> </w:t>
      </w:r>
    </w:p>
    <w:p w14:paraId="051CCB60" w14:textId="77777777" w:rsidR="00CE7EC3" w:rsidRPr="00881683" w:rsidRDefault="00CE7EC3" w:rsidP="00881683">
      <w:pPr>
        <w:spacing w:after="0" w:line="276" w:lineRule="auto"/>
        <w:jc w:val="both"/>
        <w:rPr>
          <w:rFonts w:ascii="Calibri" w:hAnsi="Calibri" w:cs="Calibri"/>
        </w:rPr>
      </w:pPr>
      <w:bookmarkStart w:id="13" w:name="_Toc176253031"/>
      <w:r w:rsidRPr="00881683">
        <w:rPr>
          <w:rFonts w:ascii="Calibri" w:hAnsi="Calibri" w:cs="Calibri"/>
        </w:rPr>
        <w:t>4.1.2</w:t>
      </w:r>
      <w:r w:rsidRPr="00881683">
        <w:rPr>
          <w:rFonts w:ascii="Calibri" w:hAnsi="Calibri" w:cs="Calibri"/>
        </w:rPr>
        <w:tab/>
        <w:t>Learning and Development Plan and Training Evaluation Procedure</w:t>
      </w:r>
      <w:bookmarkEnd w:id="13"/>
      <w:r w:rsidRPr="00881683">
        <w:rPr>
          <w:rFonts w:ascii="Calibri" w:hAnsi="Calibri" w:cs="Calibri"/>
        </w:rPr>
        <w:t xml:space="preserve"> </w:t>
      </w:r>
    </w:p>
    <w:p w14:paraId="3CB2CBAF" w14:textId="77777777" w:rsidR="00CE7EC3" w:rsidRPr="00881683" w:rsidRDefault="00CE7EC3" w:rsidP="00881683">
      <w:pPr>
        <w:spacing w:after="0" w:line="276" w:lineRule="auto"/>
        <w:jc w:val="both"/>
        <w:rPr>
          <w:rFonts w:ascii="Calibri" w:hAnsi="Calibri" w:cs="Calibri"/>
        </w:rPr>
      </w:pPr>
      <w:bookmarkStart w:id="14" w:name="_Toc176253032"/>
      <w:r w:rsidRPr="00881683">
        <w:rPr>
          <w:rFonts w:ascii="Calibri" w:hAnsi="Calibri" w:cs="Calibri"/>
        </w:rPr>
        <w:t>4.2</w:t>
      </w:r>
      <w:r w:rsidRPr="00881683">
        <w:rPr>
          <w:rFonts w:ascii="Calibri" w:hAnsi="Calibri" w:cs="Calibri"/>
        </w:rPr>
        <w:tab/>
        <w:t>Induction and New Starter Evaluation Procedure</w:t>
      </w:r>
      <w:bookmarkEnd w:id="14"/>
      <w:r w:rsidRPr="00881683">
        <w:rPr>
          <w:rFonts w:ascii="Calibri" w:hAnsi="Calibri" w:cs="Calibri"/>
        </w:rPr>
        <w:t xml:space="preserve"> </w:t>
      </w:r>
    </w:p>
    <w:p w14:paraId="18F41210" w14:textId="77777777" w:rsidR="009F073E" w:rsidRPr="009F073E" w:rsidRDefault="009F073E" w:rsidP="009F073E"/>
    <w:p w14:paraId="0977CB2B" w14:textId="1B96A718" w:rsidR="005E4920" w:rsidRDefault="005E4920" w:rsidP="009F073E">
      <w:pPr>
        <w:pStyle w:val="Heading2"/>
      </w:pPr>
      <w:r w:rsidRPr="009F073E">
        <w:t xml:space="preserve">Section 5 </w:t>
      </w:r>
      <w:r w:rsidR="009F073E">
        <w:t>-</w:t>
      </w:r>
      <w:r w:rsidRPr="009F073E">
        <w:t xml:space="preserve"> Risk Management</w:t>
      </w:r>
    </w:p>
    <w:p w14:paraId="17568503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15" w:name="_Toc176253034"/>
      <w:r w:rsidRPr="00881683">
        <w:rPr>
          <w:rFonts w:ascii="Calibri" w:hAnsi="Calibri" w:cs="Calibri"/>
        </w:rPr>
        <w:t>5.1.1</w:t>
      </w:r>
      <w:r w:rsidRPr="00881683">
        <w:rPr>
          <w:rFonts w:ascii="Calibri" w:hAnsi="Calibri" w:cs="Calibri"/>
        </w:rPr>
        <w:tab/>
        <w:t>Risk Management Policy</w:t>
      </w:r>
      <w:bookmarkEnd w:id="15"/>
      <w:r w:rsidRPr="00881683">
        <w:rPr>
          <w:rFonts w:ascii="Calibri" w:hAnsi="Calibri" w:cs="Calibri"/>
        </w:rPr>
        <w:t xml:space="preserve"> </w:t>
      </w:r>
    </w:p>
    <w:p w14:paraId="6D39886C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16" w:name="_Toc176253035"/>
      <w:r w:rsidRPr="00881683">
        <w:rPr>
          <w:rFonts w:ascii="Calibri" w:hAnsi="Calibri" w:cs="Calibri"/>
        </w:rPr>
        <w:t>5.1.2</w:t>
      </w:r>
      <w:r w:rsidRPr="00881683">
        <w:rPr>
          <w:rFonts w:ascii="Calibri" w:hAnsi="Calibri" w:cs="Calibri"/>
        </w:rPr>
        <w:tab/>
        <w:t>Compliance Plan</w:t>
      </w:r>
      <w:bookmarkStart w:id="17" w:name="_Toc176253036"/>
      <w:bookmarkEnd w:id="16"/>
    </w:p>
    <w:p w14:paraId="53338A40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>5.1.3</w:t>
      </w:r>
      <w:r w:rsidRPr="00881683">
        <w:rPr>
          <w:rFonts w:ascii="Calibri" w:hAnsi="Calibri" w:cs="Calibri"/>
        </w:rPr>
        <w:tab/>
        <w:t>Risk Register</w:t>
      </w:r>
      <w:bookmarkEnd w:id="17"/>
    </w:p>
    <w:p w14:paraId="7B4B8C31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18" w:name="_Toc176253037"/>
      <w:r w:rsidRPr="00881683">
        <w:rPr>
          <w:rFonts w:ascii="Calibri" w:hAnsi="Calibri" w:cs="Calibri"/>
        </w:rPr>
        <w:t>5.2</w:t>
      </w:r>
      <w:r w:rsidRPr="00881683">
        <w:rPr>
          <w:rFonts w:ascii="Calibri" w:hAnsi="Calibri" w:cs="Calibri"/>
        </w:rPr>
        <w:tab/>
        <w:t>Named Supervisors for Residential Conveyancing in the</w:t>
      </w:r>
      <w:bookmarkEnd w:id="18"/>
      <w:r w:rsidRPr="00881683">
        <w:rPr>
          <w:rFonts w:ascii="Calibri" w:hAnsi="Calibri" w:cs="Calibri"/>
        </w:rPr>
        <w:t xml:space="preserve"> Practice </w:t>
      </w:r>
    </w:p>
    <w:p w14:paraId="1C4E36EE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19" w:name="_Toc176253038"/>
      <w:r w:rsidRPr="00881683">
        <w:rPr>
          <w:rFonts w:ascii="Calibri" w:hAnsi="Calibri" w:cs="Calibri"/>
        </w:rPr>
        <w:t xml:space="preserve">5.3 </w:t>
      </w:r>
      <w:r w:rsidRPr="00881683">
        <w:rPr>
          <w:rFonts w:ascii="Calibri" w:hAnsi="Calibri" w:cs="Calibri"/>
        </w:rPr>
        <w:tab/>
        <w:t xml:space="preserve">Managing </w:t>
      </w:r>
      <w:bookmarkEnd w:id="19"/>
      <w:r w:rsidRPr="00881683">
        <w:rPr>
          <w:rFonts w:ascii="Calibri" w:hAnsi="Calibri" w:cs="Calibri"/>
        </w:rPr>
        <w:t xml:space="preserve">Instructions Procedure (Including Higher Risk Profile Instructions) </w:t>
      </w:r>
    </w:p>
    <w:p w14:paraId="7F9DF723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20" w:name="_Toc176253039"/>
      <w:r w:rsidRPr="00881683">
        <w:rPr>
          <w:rFonts w:ascii="Calibri" w:hAnsi="Calibri" w:cs="Calibri"/>
        </w:rPr>
        <w:t>5.4</w:t>
      </w:r>
      <w:r w:rsidRPr="00881683">
        <w:rPr>
          <w:rFonts w:ascii="Calibri" w:hAnsi="Calibri" w:cs="Calibri"/>
        </w:rPr>
        <w:tab/>
        <w:t>Residential Conveyancing Work Undertaken / Not Undertaken</w:t>
      </w:r>
      <w:bookmarkEnd w:id="20"/>
      <w:r w:rsidRPr="00881683">
        <w:rPr>
          <w:rFonts w:ascii="Calibri" w:hAnsi="Calibri" w:cs="Calibri"/>
        </w:rPr>
        <w:t xml:space="preserve"> </w:t>
      </w:r>
    </w:p>
    <w:p w14:paraId="6A1F0022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21" w:name="_Toc176253040"/>
      <w:r w:rsidRPr="00881683">
        <w:rPr>
          <w:rFonts w:ascii="Calibri" w:hAnsi="Calibri" w:cs="Calibri"/>
        </w:rPr>
        <w:t>5.5</w:t>
      </w:r>
      <w:r w:rsidRPr="00881683">
        <w:rPr>
          <w:rFonts w:ascii="Calibri" w:hAnsi="Calibri" w:cs="Calibri"/>
        </w:rPr>
        <w:tab/>
        <w:t>Generic Risks and Causes of Claims in Residential Conveyancing</w:t>
      </w:r>
      <w:bookmarkEnd w:id="21"/>
    </w:p>
    <w:p w14:paraId="42551375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22" w:name="_Toc176253041"/>
      <w:r w:rsidRPr="00881683">
        <w:rPr>
          <w:rFonts w:ascii="Calibri" w:hAnsi="Calibri" w:cs="Calibri"/>
        </w:rPr>
        <w:t>5.6</w:t>
      </w:r>
      <w:r w:rsidRPr="00881683">
        <w:rPr>
          <w:rFonts w:ascii="Calibri" w:hAnsi="Calibri" w:cs="Calibri"/>
        </w:rPr>
        <w:tab/>
        <w:t>Key Dates Procedure</w:t>
      </w:r>
      <w:bookmarkEnd w:id="22"/>
      <w:r w:rsidRPr="00881683">
        <w:rPr>
          <w:rFonts w:ascii="Calibri" w:hAnsi="Calibri" w:cs="Calibri"/>
        </w:rPr>
        <w:t xml:space="preserve"> </w:t>
      </w:r>
    </w:p>
    <w:p w14:paraId="54D85A0D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23" w:name="_Toc176253042"/>
      <w:r w:rsidRPr="00881683">
        <w:rPr>
          <w:rFonts w:ascii="Calibri" w:hAnsi="Calibri" w:cs="Calibri"/>
        </w:rPr>
        <w:t>5.7</w:t>
      </w:r>
      <w:r w:rsidRPr="00881683">
        <w:rPr>
          <w:rFonts w:ascii="Calibri" w:hAnsi="Calibri" w:cs="Calibri"/>
        </w:rPr>
        <w:tab/>
        <w:t>Conflicts of Interest Policy</w:t>
      </w:r>
      <w:bookmarkEnd w:id="23"/>
      <w:r w:rsidRPr="00881683">
        <w:rPr>
          <w:rFonts w:ascii="Calibri" w:hAnsi="Calibri" w:cs="Calibri"/>
        </w:rPr>
        <w:t xml:space="preserve"> </w:t>
      </w:r>
    </w:p>
    <w:p w14:paraId="0B0389CE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24" w:name="_Toc176253043"/>
      <w:r w:rsidRPr="00881683">
        <w:rPr>
          <w:rFonts w:ascii="Calibri" w:hAnsi="Calibri" w:cs="Calibri"/>
        </w:rPr>
        <w:t>5.8</w:t>
      </w:r>
      <w:r w:rsidRPr="00881683">
        <w:rPr>
          <w:rFonts w:ascii="Calibri" w:hAnsi="Calibri" w:cs="Calibri"/>
        </w:rPr>
        <w:tab/>
        <w:t>Supervision Procedure</w:t>
      </w:r>
      <w:bookmarkEnd w:id="24"/>
    </w:p>
    <w:p w14:paraId="21CA5896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25" w:name="_Toc176253044"/>
      <w:r w:rsidRPr="00881683">
        <w:rPr>
          <w:rFonts w:ascii="Calibri" w:hAnsi="Calibri" w:cs="Calibri"/>
        </w:rPr>
        <w:t>5.9</w:t>
      </w:r>
      <w:r w:rsidRPr="00881683">
        <w:rPr>
          <w:rFonts w:ascii="Calibri" w:hAnsi="Calibri" w:cs="Calibri"/>
        </w:rPr>
        <w:tab/>
        <w:t>Preventing Inactivity on Files</w:t>
      </w:r>
      <w:bookmarkEnd w:id="25"/>
      <w:r w:rsidRPr="00881683">
        <w:rPr>
          <w:rFonts w:ascii="Calibri" w:hAnsi="Calibri" w:cs="Calibri"/>
        </w:rPr>
        <w:t xml:space="preserve"> Procedure </w:t>
      </w:r>
    </w:p>
    <w:p w14:paraId="6AB54789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26" w:name="_Toc176253045"/>
      <w:r w:rsidRPr="00881683">
        <w:rPr>
          <w:rFonts w:ascii="Calibri" w:hAnsi="Calibri" w:cs="Calibri"/>
        </w:rPr>
        <w:t>5.10</w:t>
      </w:r>
      <w:r w:rsidRPr="00881683">
        <w:rPr>
          <w:rFonts w:ascii="Calibri" w:hAnsi="Calibri" w:cs="Calibri"/>
        </w:rPr>
        <w:tab/>
        <w:t xml:space="preserve">Providing Cover for the Work of Absent </w:t>
      </w:r>
      <w:bookmarkEnd w:id="26"/>
      <w:r w:rsidRPr="00881683">
        <w:rPr>
          <w:rFonts w:ascii="Calibri" w:hAnsi="Calibri" w:cs="Calibri"/>
        </w:rPr>
        <w:t>Personnel Procedure</w:t>
      </w:r>
    </w:p>
    <w:p w14:paraId="478632D4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27" w:name="_Toc176253046"/>
      <w:r w:rsidRPr="00881683">
        <w:rPr>
          <w:rFonts w:ascii="Calibri" w:hAnsi="Calibri" w:cs="Calibri"/>
        </w:rPr>
        <w:t>5.11.1</w:t>
      </w:r>
      <w:r w:rsidRPr="00881683">
        <w:rPr>
          <w:rFonts w:ascii="Calibri" w:hAnsi="Calibri" w:cs="Calibri"/>
        </w:rPr>
        <w:tab/>
        <w:t>File Review</w:t>
      </w:r>
      <w:bookmarkEnd w:id="27"/>
      <w:r w:rsidRPr="00881683">
        <w:rPr>
          <w:rFonts w:ascii="Calibri" w:hAnsi="Calibri" w:cs="Calibri"/>
        </w:rPr>
        <w:t xml:space="preserve"> Procedure</w:t>
      </w:r>
    </w:p>
    <w:p w14:paraId="0258C39D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>5.11.2</w:t>
      </w:r>
      <w:r w:rsidRPr="00881683">
        <w:rPr>
          <w:rFonts w:ascii="Calibri" w:hAnsi="Calibri" w:cs="Calibri"/>
        </w:rPr>
        <w:tab/>
        <w:t>File Review Form - Conveyancing</w:t>
      </w:r>
      <w:bookmarkStart w:id="28" w:name="_Toc176253047"/>
    </w:p>
    <w:p w14:paraId="22551449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lastRenderedPageBreak/>
        <w:t xml:space="preserve">5.12 </w:t>
      </w:r>
      <w:r w:rsidRPr="00881683">
        <w:rPr>
          <w:rFonts w:ascii="Calibri" w:hAnsi="Calibri" w:cs="Calibri"/>
        </w:rPr>
        <w:tab/>
      </w:r>
      <w:r w:rsidRPr="00881683">
        <w:rPr>
          <w:rFonts w:ascii="Calibri" w:eastAsia="Times New Roman" w:hAnsi="Calibri" w:cs="Calibri"/>
          <w:color w:val="000000"/>
          <w:lang w:val="en-US" w:eastAsia="en-GB"/>
        </w:rPr>
        <w:t>Reporting Risk Procedure</w:t>
      </w:r>
      <w:bookmarkEnd w:id="28"/>
    </w:p>
    <w:p w14:paraId="34F7FB7B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>5.13.1</w:t>
      </w:r>
      <w:r w:rsidRPr="00881683">
        <w:rPr>
          <w:rFonts w:ascii="Calibri" w:hAnsi="Calibri" w:cs="Calibri"/>
        </w:rPr>
        <w:tab/>
        <w:t xml:space="preserve">Anti-Money Laundering Policy </w:t>
      </w:r>
    </w:p>
    <w:p w14:paraId="287768B0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29" w:name="_Toc176253048"/>
      <w:r w:rsidRPr="00881683">
        <w:rPr>
          <w:rFonts w:ascii="Calibri" w:hAnsi="Calibri" w:cs="Calibri"/>
        </w:rPr>
        <w:t xml:space="preserve">5.13.2 </w:t>
      </w:r>
      <w:r w:rsidRPr="00881683">
        <w:rPr>
          <w:rFonts w:ascii="Calibri" w:hAnsi="Calibri" w:cs="Calibri"/>
        </w:rPr>
        <w:tab/>
        <w:t>Practice Wide Risk Assessment</w:t>
      </w:r>
      <w:bookmarkEnd w:id="29"/>
    </w:p>
    <w:p w14:paraId="07F7FAF6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30" w:name="_Toc176253049"/>
      <w:r w:rsidRPr="00881683">
        <w:rPr>
          <w:rFonts w:ascii="Calibri" w:hAnsi="Calibri" w:cs="Calibri"/>
        </w:rPr>
        <w:t xml:space="preserve">5.13.3 </w:t>
      </w:r>
      <w:r w:rsidRPr="00881683">
        <w:rPr>
          <w:rFonts w:ascii="Calibri" w:hAnsi="Calibri" w:cs="Calibri"/>
        </w:rPr>
        <w:tab/>
        <w:t>Making Internal and External Disclosures</w:t>
      </w:r>
      <w:bookmarkEnd w:id="30"/>
      <w:r w:rsidRPr="00881683">
        <w:rPr>
          <w:rFonts w:ascii="Calibri" w:hAnsi="Calibri" w:cs="Calibri"/>
        </w:rPr>
        <w:t xml:space="preserve"> Procedure </w:t>
      </w:r>
    </w:p>
    <w:p w14:paraId="4F636CBC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31" w:name="_Toc176253050"/>
      <w:r w:rsidRPr="00881683">
        <w:rPr>
          <w:rFonts w:ascii="Calibri" w:hAnsi="Calibri" w:cs="Calibri"/>
        </w:rPr>
        <w:t xml:space="preserve">5.13.4 </w:t>
      </w:r>
      <w:r w:rsidRPr="00881683">
        <w:rPr>
          <w:rFonts w:ascii="Calibri" w:hAnsi="Calibri" w:cs="Calibri"/>
        </w:rPr>
        <w:tab/>
        <w:t>Checking Initial Client ID and Ongoing Monitoring of Clients</w:t>
      </w:r>
      <w:bookmarkEnd w:id="31"/>
      <w:r w:rsidRPr="00881683">
        <w:rPr>
          <w:rFonts w:ascii="Calibri" w:hAnsi="Calibri" w:cs="Calibri"/>
        </w:rPr>
        <w:t xml:space="preserve"> Procedure</w:t>
      </w:r>
    </w:p>
    <w:p w14:paraId="344F3912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32" w:name="_Toc176253051"/>
      <w:r w:rsidRPr="00881683">
        <w:rPr>
          <w:rFonts w:ascii="Calibri" w:hAnsi="Calibri" w:cs="Calibri"/>
        </w:rPr>
        <w:t xml:space="preserve">5.13.5 </w:t>
      </w:r>
      <w:r w:rsidRPr="00881683">
        <w:rPr>
          <w:rFonts w:ascii="Calibri" w:hAnsi="Calibri" w:cs="Calibri"/>
        </w:rPr>
        <w:tab/>
        <w:t>Maintenance of Records</w:t>
      </w:r>
      <w:bookmarkEnd w:id="32"/>
      <w:r w:rsidRPr="00881683">
        <w:rPr>
          <w:rFonts w:ascii="Calibri" w:hAnsi="Calibri" w:cs="Calibri"/>
        </w:rPr>
        <w:t xml:space="preserve"> Procedure </w:t>
      </w:r>
    </w:p>
    <w:p w14:paraId="5E4D3A09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33" w:name="_Toc176253052"/>
      <w:r w:rsidRPr="00881683">
        <w:rPr>
          <w:rFonts w:ascii="Calibri" w:hAnsi="Calibri" w:cs="Calibri"/>
        </w:rPr>
        <w:t xml:space="preserve">5.13.6 </w:t>
      </w:r>
      <w:r w:rsidRPr="00881683">
        <w:rPr>
          <w:rFonts w:ascii="Calibri" w:hAnsi="Calibri" w:cs="Calibri"/>
        </w:rPr>
        <w:tab/>
        <w:t>Responding Rapidly to AML Enquiries from the Authorities</w:t>
      </w:r>
      <w:bookmarkEnd w:id="33"/>
      <w:r w:rsidRPr="00881683">
        <w:rPr>
          <w:rFonts w:ascii="Calibri" w:hAnsi="Calibri" w:cs="Calibri"/>
        </w:rPr>
        <w:t xml:space="preserve"> Procedure</w:t>
      </w:r>
    </w:p>
    <w:p w14:paraId="53B84495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34" w:name="_Toc176253053"/>
      <w:r w:rsidRPr="00881683">
        <w:rPr>
          <w:rFonts w:ascii="Calibri" w:hAnsi="Calibri" w:cs="Calibri"/>
        </w:rPr>
        <w:t xml:space="preserve">5.13.7 </w:t>
      </w:r>
      <w:r w:rsidRPr="00881683">
        <w:rPr>
          <w:rFonts w:ascii="Calibri" w:hAnsi="Calibri" w:cs="Calibri"/>
        </w:rPr>
        <w:tab/>
        <w:t>Checking Source of Funds / Wealth</w:t>
      </w:r>
      <w:bookmarkEnd w:id="34"/>
      <w:r w:rsidRPr="00881683">
        <w:rPr>
          <w:rFonts w:ascii="Calibri" w:hAnsi="Calibri" w:cs="Calibri"/>
        </w:rPr>
        <w:t xml:space="preserve"> Procedure  </w:t>
      </w:r>
    </w:p>
    <w:p w14:paraId="5F2BF5BF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35" w:name="_Toc176253054"/>
      <w:r w:rsidRPr="00881683">
        <w:rPr>
          <w:rFonts w:ascii="Calibri" w:hAnsi="Calibri" w:cs="Calibri"/>
        </w:rPr>
        <w:t xml:space="preserve">5.13.8 </w:t>
      </w:r>
      <w:r w:rsidRPr="00881683">
        <w:rPr>
          <w:rFonts w:ascii="Calibri" w:hAnsi="Calibri" w:cs="Calibri"/>
        </w:rPr>
        <w:tab/>
        <w:t>Transferring Clients to Another Department Within the Practice</w:t>
      </w:r>
      <w:bookmarkEnd w:id="35"/>
      <w:r w:rsidRPr="00881683">
        <w:rPr>
          <w:rFonts w:ascii="Calibri" w:hAnsi="Calibri" w:cs="Calibri"/>
        </w:rPr>
        <w:t xml:space="preserve"> Procedure </w:t>
      </w:r>
    </w:p>
    <w:p w14:paraId="347F96A0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bookmarkStart w:id="36" w:name="_Toc176253055"/>
      <w:r w:rsidRPr="00881683">
        <w:rPr>
          <w:rFonts w:ascii="Calibri" w:hAnsi="Calibri" w:cs="Calibri"/>
        </w:rPr>
        <w:t xml:space="preserve">5.13.9 </w:t>
      </w:r>
      <w:r w:rsidRPr="00881683">
        <w:rPr>
          <w:rFonts w:ascii="Calibri" w:hAnsi="Calibri" w:cs="Calibri"/>
        </w:rPr>
        <w:tab/>
        <w:t>Using and Recording AML Risk Assessments on all Matters</w:t>
      </w:r>
      <w:bookmarkEnd w:id="36"/>
      <w:r w:rsidRPr="00881683">
        <w:rPr>
          <w:rFonts w:ascii="Calibri" w:hAnsi="Calibri" w:cs="Calibri"/>
        </w:rPr>
        <w:t xml:space="preserve"> Procedure </w:t>
      </w:r>
    </w:p>
    <w:p w14:paraId="1DC243BB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bookmarkStart w:id="37" w:name="_Toc176253056"/>
      <w:r w:rsidRPr="00881683">
        <w:rPr>
          <w:rFonts w:ascii="Calibri" w:hAnsi="Calibri" w:cs="Calibri"/>
          <w:color w:val="000000" w:themeColor="text1"/>
        </w:rPr>
        <w:t>5.14.1</w:t>
      </w:r>
      <w:r w:rsidRPr="00881683">
        <w:rPr>
          <w:rFonts w:ascii="Calibri" w:hAnsi="Calibri" w:cs="Calibri"/>
          <w:color w:val="000000" w:themeColor="text1"/>
        </w:rPr>
        <w:tab/>
        <w:t>Property and Mortgage Fraud Policy</w:t>
      </w:r>
      <w:bookmarkEnd w:id="37"/>
      <w:r w:rsidRPr="00881683">
        <w:rPr>
          <w:rFonts w:ascii="Calibri" w:hAnsi="Calibri" w:cs="Calibri"/>
          <w:color w:val="000000" w:themeColor="text1"/>
        </w:rPr>
        <w:t xml:space="preserve"> </w:t>
      </w:r>
    </w:p>
    <w:p w14:paraId="40AD1AF9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 xml:space="preserve">5.14.2 </w:t>
      </w:r>
      <w:r w:rsidRPr="00881683">
        <w:rPr>
          <w:rFonts w:ascii="Calibri" w:hAnsi="Calibri" w:cs="Calibri"/>
        </w:rPr>
        <w:tab/>
        <w:t xml:space="preserve">Checking Other Party’s Conveyancer (Including Verifying their Banking Details) Procedure </w:t>
      </w:r>
    </w:p>
    <w:p w14:paraId="4BF0AB95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 xml:space="preserve">5.14.3 </w:t>
      </w:r>
      <w:r w:rsidRPr="00881683">
        <w:rPr>
          <w:rFonts w:ascii="Calibri" w:hAnsi="Calibri" w:cs="Calibri"/>
        </w:rPr>
        <w:tab/>
        <w:t>Matter Based Checklists (Covering Fraud Risks and Operational Risks</w:t>
      </w:r>
      <w:bookmarkStart w:id="38" w:name="_Toc176253057"/>
      <w:r w:rsidRPr="00881683">
        <w:rPr>
          <w:rFonts w:ascii="Calibri" w:hAnsi="Calibri" w:cs="Calibri"/>
        </w:rPr>
        <w:t>) Procedure</w:t>
      </w:r>
    </w:p>
    <w:p w14:paraId="6AF346E5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881683">
        <w:rPr>
          <w:rFonts w:ascii="Calibri" w:hAnsi="Calibri" w:cs="Calibri"/>
          <w:color w:val="000000" w:themeColor="text1"/>
        </w:rPr>
        <w:t xml:space="preserve">5.14.4 </w:t>
      </w:r>
      <w:r w:rsidRPr="00881683">
        <w:rPr>
          <w:rFonts w:ascii="Calibri" w:hAnsi="Calibri" w:cs="Calibri"/>
          <w:color w:val="000000" w:themeColor="text1"/>
        </w:rPr>
        <w:tab/>
        <w:t>Dealing with Transactions Where a Significant Fraud Risk is Identified Procedure</w:t>
      </w:r>
      <w:bookmarkEnd w:id="38"/>
    </w:p>
    <w:p w14:paraId="11F3C23E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bookmarkStart w:id="39" w:name="_Toc176253058"/>
      <w:r w:rsidRPr="00881683">
        <w:rPr>
          <w:rFonts w:ascii="Calibri" w:hAnsi="Calibri" w:cs="Calibri"/>
          <w:color w:val="000000" w:themeColor="text1"/>
        </w:rPr>
        <w:t xml:space="preserve">5.14.5 </w:t>
      </w:r>
      <w:r w:rsidRPr="00881683">
        <w:rPr>
          <w:rFonts w:ascii="Calibri" w:hAnsi="Calibri" w:cs="Calibri"/>
          <w:color w:val="000000" w:themeColor="text1"/>
        </w:rPr>
        <w:tab/>
      </w:r>
      <w:bookmarkEnd w:id="39"/>
      <w:r w:rsidRPr="00881683">
        <w:rPr>
          <w:rFonts w:ascii="Calibri" w:hAnsi="Calibri" w:cs="Calibri"/>
          <w:color w:val="000000" w:themeColor="text1"/>
        </w:rPr>
        <w:t xml:space="preserve">Enhanced Checking of Identity on Matters with High Risk of Fraud Procedure  </w:t>
      </w:r>
    </w:p>
    <w:p w14:paraId="4F6F9286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bookmarkStart w:id="40" w:name="_Toc176253059"/>
      <w:r w:rsidRPr="00881683">
        <w:rPr>
          <w:rFonts w:ascii="Calibri" w:hAnsi="Calibri" w:cs="Calibri"/>
          <w:color w:val="000000" w:themeColor="text1"/>
        </w:rPr>
        <w:t xml:space="preserve">5.14.6 </w:t>
      </w:r>
      <w:r w:rsidRPr="00881683">
        <w:rPr>
          <w:rFonts w:ascii="Calibri" w:hAnsi="Calibri" w:cs="Calibri"/>
          <w:color w:val="000000" w:themeColor="text1"/>
        </w:rPr>
        <w:tab/>
        <w:t>Acting for a Buyer Where There is a Significant Risk of Fraudulent Seller</w:t>
      </w:r>
      <w:bookmarkEnd w:id="40"/>
      <w:r w:rsidRPr="00881683">
        <w:rPr>
          <w:rFonts w:ascii="Calibri" w:hAnsi="Calibri" w:cs="Calibri"/>
          <w:color w:val="000000" w:themeColor="text1"/>
        </w:rPr>
        <w:t xml:space="preserve"> Procedure</w:t>
      </w:r>
    </w:p>
    <w:p w14:paraId="0654FBE5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bookmarkStart w:id="41" w:name="_Toc176253060"/>
      <w:r w:rsidRPr="00881683">
        <w:rPr>
          <w:rFonts w:ascii="Calibri" w:hAnsi="Calibri" w:cs="Calibri"/>
          <w:color w:val="000000" w:themeColor="text1"/>
        </w:rPr>
        <w:t xml:space="preserve">5.15.1 </w:t>
      </w:r>
      <w:r w:rsidRPr="00881683">
        <w:rPr>
          <w:rFonts w:ascii="Calibri" w:hAnsi="Calibri" w:cs="Calibri"/>
          <w:color w:val="000000" w:themeColor="text1"/>
        </w:rPr>
        <w:tab/>
        <w:t>Anti-Bribery Policy and Procedure</w:t>
      </w:r>
      <w:bookmarkEnd w:id="41"/>
    </w:p>
    <w:p w14:paraId="0550322C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881683">
        <w:rPr>
          <w:rFonts w:ascii="Calibri" w:hAnsi="Calibri" w:cs="Calibri"/>
          <w:color w:val="000000" w:themeColor="text1"/>
        </w:rPr>
        <w:t>5.15.2</w:t>
      </w:r>
      <w:r w:rsidRPr="00881683">
        <w:rPr>
          <w:rFonts w:ascii="Calibri" w:hAnsi="Calibri" w:cs="Calibri"/>
          <w:color w:val="000000" w:themeColor="text1"/>
        </w:rPr>
        <w:tab/>
      </w:r>
      <w:r w:rsidRPr="00881683">
        <w:rPr>
          <w:rFonts w:ascii="Calibri" w:hAnsi="Calibri" w:cs="Calibri"/>
        </w:rPr>
        <w:t>Gifts and Entertainment and Hospitality Register</w:t>
      </w:r>
    </w:p>
    <w:p w14:paraId="70A17B60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bookmarkStart w:id="42" w:name="_Toc176253061"/>
      <w:r w:rsidRPr="00881683">
        <w:rPr>
          <w:rFonts w:ascii="Calibri" w:hAnsi="Calibri" w:cs="Calibri"/>
          <w:color w:val="000000" w:themeColor="text1"/>
        </w:rPr>
        <w:t xml:space="preserve">5.16.1 </w:t>
      </w:r>
      <w:r w:rsidRPr="00881683">
        <w:rPr>
          <w:rFonts w:ascii="Calibri" w:hAnsi="Calibri" w:cs="Calibri"/>
          <w:color w:val="000000" w:themeColor="text1"/>
        </w:rPr>
        <w:tab/>
        <w:t>Stamp Duty Land Tax / Land Transaction Tax Policy</w:t>
      </w:r>
      <w:bookmarkEnd w:id="42"/>
      <w:r w:rsidRPr="00881683">
        <w:rPr>
          <w:rFonts w:ascii="Calibri" w:hAnsi="Calibri" w:cs="Calibri"/>
          <w:color w:val="000000" w:themeColor="text1"/>
        </w:rPr>
        <w:t xml:space="preserve"> </w:t>
      </w:r>
    </w:p>
    <w:p w14:paraId="7E071752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>5.16.2</w:t>
      </w:r>
      <w:r w:rsidRPr="00881683">
        <w:rPr>
          <w:rFonts w:ascii="Calibri" w:hAnsi="Calibri" w:cs="Calibri"/>
        </w:rPr>
        <w:tab/>
        <w:t>SDLT and LTT Explanatory Sheet for Clients</w:t>
      </w:r>
    </w:p>
    <w:p w14:paraId="711691F5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 xml:space="preserve">5.16.3 </w:t>
      </w:r>
      <w:r w:rsidRPr="00881683">
        <w:rPr>
          <w:rFonts w:ascii="Calibri" w:hAnsi="Calibri" w:cs="Calibri"/>
        </w:rPr>
        <w:tab/>
        <w:t>SDLT and LTT Declaration Forms</w:t>
      </w:r>
    </w:p>
    <w:p w14:paraId="09EA56DF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>5.16.4</w:t>
      </w:r>
      <w:r w:rsidRPr="00881683">
        <w:rPr>
          <w:rFonts w:ascii="Calibri" w:hAnsi="Calibri" w:cs="Calibri"/>
        </w:rPr>
        <w:tab/>
        <w:t>SDLT and LTT Client Confirmation Forms</w:t>
      </w:r>
    </w:p>
    <w:p w14:paraId="7E136E04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bookmarkStart w:id="43" w:name="_Toc176253062"/>
      <w:r w:rsidRPr="00881683">
        <w:rPr>
          <w:rFonts w:ascii="Calibri" w:hAnsi="Calibri" w:cs="Calibri"/>
          <w:color w:val="000000" w:themeColor="text1"/>
        </w:rPr>
        <w:t xml:space="preserve">5.17.1 </w:t>
      </w:r>
      <w:r w:rsidRPr="00881683">
        <w:rPr>
          <w:rFonts w:ascii="Calibri" w:hAnsi="Calibri" w:cs="Calibri"/>
          <w:color w:val="000000" w:themeColor="text1"/>
        </w:rPr>
        <w:tab/>
        <w:t>Purchase of a Leasehold Property Policy</w:t>
      </w:r>
      <w:bookmarkEnd w:id="43"/>
    </w:p>
    <w:p w14:paraId="4A709AD2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 xml:space="preserve">5.17.2 </w:t>
      </w:r>
      <w:r w:rsidRPr="00881683">
        <w:rPr>
          <w:rFonts w:ascii="Calibri" w:hAnsi="Calibri" w:cs="Calibri"/>
        </w:rPr>
        <w:tab/>
        <w:t>Explanatory Notes for Clients re. Freehold and Leasehold Property</w:t>
      </w:r>
    </w:p>
    <w:p w14:paraId="5CF03E6F" w14:textId="77777777" w:rsidR="003C4DC7" w:rsidRPr="00881683" w:rsidRDefault="003C4DC7" w:rsidP="00881683">
      <w:pPr>
        <w:spacing w:after="0" w:line="276" w:lineRule="auto"/>
        <w:jc w:val="both"/>
        <w:rPr>
          <w:rFonts w:ascii="Calibri" w:hAnsi="Calibri" w:cs="Calibri"/>
          <w:color w:val="000000" w:themeColor="text1"/>
        </w:rPr>
      </w:pPr>
      <w:r w:rsidRPr="00881683">
        <w:rPr>
          <w:rFonts w:ascii="Calibri" w:hAnsi="Calibri" w:cs="Calibri"/>
          <w:color w:val="000000" w:themeColor="text1"/>
        </w:rPr>
        <w:t>5.18</w:t>
      </w:r>
      <w:r w:rsidRPr="00881683">
        <w:rPr>
          <w:rFonts w:ascii="Calibri" w:hAnsi="Calibri" w:cs="Calibri"/>
          <w:color w:val="000000" w:themeColor="text1"/>
        </w:rPr>
        <w:tab/>
        <w:t>Analysis of Risk Assessment Data</w:t>
      </w:r>
    </w:p>
    <w:p w14:paraId="670D5ED5" w14:textId="77777777" w:rsidR="009F073E" w:rsidRPr="009F073E" w:rsidRDefault="009F073E" w:rsidP="009F073E"/>
    <w:p w14:paraId="25DE0D8F" w14:textId="5A236512" w:rsidR="001D71A9" w:rsidRDefault="001D71A9" w:rsidP="009F073E">
      <w:pPr>
        <w:pStyle w:val="Heading2"/>
      </w:pPr>
      <w:r w:rsidRPr="009F073E">
        <w:t xml:space="preserve">Section 6 </w:t>
      </w:r>
      <w:r w:rsidR="009F073E">
        <w:t>-</w:t>
      </w:r>
      <w:r w:rsidRPr="009F073E">
        <w:t xml:space="preserve"> Client Care</w:t>
      </w:r>
    </w:p>
    <w:p w14:paraId="48F4D53C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bookmarkStart w:id="44" w:name="_Toc176253064"/>
      <w:r w:rsidRPr="00881683">
        <w:rPr>
          <w:rFonts w:ascii="Calibri" w:hAnsi="Calibri" w:cs="Calibri"/>
        </w:rPr>
        <w:t>6.1.1</w:t>
      </w:r>
      <w:r w:rsidRPr="00881683">
        <w:rPr>
          <w:rFonts w:ascii="Calibri" w:hAnsi="Calibri" w:cs="Calibri"/>
        </w:rPr>
        <w:tab/>
        <w:t>Client Care Policy</w:t>
      </w:r>
      <w:bookmarkEnd w:id="44"/>
      <w:r w:rsidRPr="00881683">
        <w:rPr>
          <w:rFonts w:ascii="Calibri" w:hAnsi="Calibri" w:cs="Calibri"/>
        </w:rPr>
        <w:t xml:space="preserve"> </w:t>
      </w:r>
    </w:p>
    <w:p w14:paraId="73A53F01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bookmarkStart w:id="45" w:name="_Toc176253065"/>
      <w:r w:rsidRPr="00881683">
        <w:rPr>
          <w:rFonts w:ascii="Calibri" w:hAnsi="Calibri" w:cs="Calibri"/>
        </w:rPr>
        <w:t xml:space="preserve">6.1.2 </w:t>
      </w:r>
      <w:r w:rsidRPr="00881683">
        <w:rPr>
          <w:rFonts w:ascii="Calibri" w:hAnsi="Calibri" w:cs="Calibri"/>
        </w:rPr>
        <w:tab/>
        <w:t>Vulnerable Clients Policy</w:t>
      </w:r>
      <w:bookmarkEnd w:id="45"/>
    </w:p>
    <w:p w14:paraId="256EEBE5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bookmarkStart w:id="46" w:name="_Toc176253066"/>
      <w:r w:rsidRPr="00881683">
        <w:rPr>
          <w:rFonts w:ascii="Calibri" w:hAnsi="Calibri" w:cs="Calibri"/>
        </w:rPr>
        <w:t xml:space="preserve">6.1.3 </w:t>
      </w:r>
      <w:r w:rsidRPr="00881683">
        <w:rPr>
          <w:rFonts w:ascii="Calibri" w:hAnsi="Calibri" w:cs="Calibri"/>
        </w:rPr>
        <w:tab/>
        <w:t>Referring Clients to Third Parties</w:t>
      </w:r>
      <w:bookmarkEnd w:id="46"/>
      <w:r w:rsidRPr="00881683">
        <w:rPr>
          <w:rFonts w:ascii="Calibri" w:hAnsi="Calibri" w:cs="Calibri"/>
        </w:rPr>
        <w:t xml:space="preserve"> Procedure</w:t>
      </w:r>
    </w:p>
    <w:p w14:paraId="2B5C84A3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>6.1.4</w:t>
      </w:r>
      <w:r w:rsidRPr="00881683">
        <w:rPr>
          <w:rFonts w:ascii="Calibri" w:hAnsi="Calibri" w:cs="Calibri"/>
        </w:rPr>
        <w:tab/>
        <w:t>Third Party Recommendations Register</w:t>
      </w:r>
      <w:bookmarkStart w:id="47" w:name="_Toc176253067"/>
    </w:p>
    <w:p w14:paraId="17592FE4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 xml:space="preserve">6.1.5 </w:t>
      </w:r>
      <w:r w:rsidRPr="00881683">
        <w:rPr>
          <w:rFonts w:ascii="Calibri" w:hAnsi="Calibri" w:cs="Calibri"/>
        </w:rPr>
        <w:tab/>
        <w:t>Updating and Reporting to Clients</w:t>
      </w:r>
      <w:bookmarkEnd w:id="47"/>
      <w:r w:rsidRPr="00881683">
        <w:rPr>
          <w:rFonts w:ascii="Calibri" w:hAnsi="Calibri" w:cs="Calibri"/>
        </w:rPr>
        <w:t xml:space="preserve"> Procedure</w:t>
      </w:r>
    </w:p>
    <w:p w14:paraId="538F0D07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bookmarkStart w:id="48" w:name="_Toc176253068"/>
      <w:r w:rsidRPr="00881683">
        <w:rPr>
          <w:rFonts w:ascii="Calibri" w:hAnsi="Calibri" w:cs="Calibri"/>
        </w:rPr>
        <w:t>6.2</w:t>
      </w:r>
      <w:r w:rsidRPr="00881683">
        <w:rPr>
          <w:rFonts w:ascii="Calibri" w:hAnsi="Calibri" w:cs="Calibri"/>
        </w:rPr>
        <w:tab/>
        <w:t>Compliance with Client Care Regulatory Requirements Procedure</w:t>
      </w:r>
      <w:bookmarkEnd w:id="48"/>
    </w:p>
    <w:p w14:paraId="31F39F29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bookmarkStart w:id="49" w:name="_Toc176253069"/>
      <w:r w:rsidRPr="00881683">
        <w:rPr>
          <w:rFonts w:ascii="Calibri" w:hAnsi="Calibri" w:cs="Calibri"/>
        </w:rPr>
        <w:t>6.3</w:t>
      </w:r>
      <w:r w:rsidRPr="00881683">
        <w:rPr>
          <w:rFonts w:ascii="Calibri" w:hAnsi="Calibri" w:cs="Calibri"/>
        </w:rPr>
        <w:tab/>
        <w:t>Price and Service Transparency Procedure</w:t>
      </w:r>
      <w:bookmarkEnd w:id="49"/>
      <w:r w:rsidRPr="00881683">
        <w:rPr>
          <w:rFonts w:ascii="Calibri" w:hAnsi="Calibri" w:cs="Calibri"/>
        </w:rPr>
        <w:t xml:space="preserve"> </w:t>
      </w:r>
    </w:p>
    <w:p w14:paraId="6A2DA4A9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bookmarkStart w:id="50" w:name="_Toc176253070"/>
      <w:r w:rsidRPr="00881683">
        <w:rPr>
          <w:rFonts w:ascii="Calibri" w:hAnsi="Calibri" w:cs="Calibri"/>
        </w:rPr>
        <w:t xml:space="preserve">6.4.1 </w:t>
      </w:r>
      <w:r w:rsidRPr="00881683">
        <w:rPr>
          <w:rFonts w:ascii="Calibri" w:hAnsi="Calibri" w:cs="Calibri"/>
        </w:rPr>
        <w:tab/>
        <w:t>Dealing with Lenders</w:t>
      </w:r>
      <w:bookmarkEnd w:id="50"/>
      <w:r w:rsidRPr="00881683">
        <w:rPr>
          <w:rFonts w:ascii="Calibri" w:hAnsi="Calibri" w:cs="Calibri"/>
        </w:rPr>
        <w:t xml:space="preserve"> Policy </w:t>
      </w:r>
    </w:p>
    <w:p w14:paraId="7412CD25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bookmarkStart w:id="51" w:name="_Toc176253071"/>
      <w:r w:rsidRPr="00881683">
        <w:rPr>
          <w:rFonts w:ascii="Calibri" w:hAnsi="Calibri" w:cs="Calibri"/>
        </w:rPr>
        <w:t xml:space="preserve">6.4.2 </w:t>
      </w:r>
      <w:r w:rsidRPr="00881683">
        <w:rPr>
          <w:rFonts w:ascii="Calibri" w:hAnsi="Calibri" w:cs="Calibri"/>
        </w:rPr>
        <w:tab/>
        <w:t>Reporting to Lenders Procedure</w:t>
      </w:r>
      <w:bookmarkEnd w:id="51"/>
      <w:r w:rsidRPr="00881683">
        <w:rPr>
          <w:rFonts w:ascii="Calibri" w:hAnsi="Calibri" w:cs="Calibri"/>
        </w:rPr>
        <w:t xml:space="preserve"> </w:t>
      </w:r>
    </w:p>
    <w:p w14:paraId="1054F7E9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bookmarkStart w:id="52" w:name="_Toc176253072"/>
      <w:r w:rsidRPr="00881683">
        <w:rPr>
          <w:rFonts w:ascii="Calibri" w:hAnsi="Calibri" w:cs="Calibri"/>
        </w:rPr>
        <w:t xml:space="preserve">6.5 </w:t>
      </w:r>
      <w:r w:rsidRPr="00881683">
        <w:rPr>
          <w:rFonts w:ascii="Calibri" w:hAnsi="Calibri" w:cs="Calibri"/>
        </w:rPr>
        <w:tab/>
        <w:t>Complaints Handling Procedure</w:t>
      </w:r>
      <w:bookmarkEnd w:id="52"/>
    </w:p>
    <w:p w14:paraId="26B755AD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bookmarkStart w:id="53" w:name="_Toc176253073"/>
      <w:r w:rsidRPr="00881683">
        <w:rPr>
          <w:rFonts w:ascii="Calibri" w:hAnsi="Calibri" w:cs="Calibri"/>
        </w:rPr>
        <w:t xml:space="preserve">6.6 </w:t>
      </w:r>
      <w:r w:rsidRPr="00881683">
        <w:rPr>
          <w:rFonts w:ascii="Calibri" w:hAnsi="Calibri" w:cs="Calibri"/>
        </w:rPr>
        <w:tab/>
        <w:t>Client Satisfaction Procedure</w:t>
      </w:r>
      <w:bookmarkEnd w:id="53"/>
    </w:p>
    <w:p w14:paraId="625E91E1" w14:textId="77777777" w:rsidR="00EA42BF" w:rsidRPr="00881683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bookmarkStart w:id="54" w:name="_Toc176253074"/>
      <w:r w:rsidRPr="00881683">
        <w:rPr>
          <w:rFonts w:ascii="Calibri" w:hAnsi="Calibri" w:cs="Calibri"/>
        </w:rPr>
        <w:t xml:space="preserve">6.7.1 </w:t>
      </w:r>
      <w:r w:rsidRPr="00881683">
        <w:rPr>
          <w:rFonts w:ascii="Calibri" w:hAnsi="Calibri" w:cs="Calibri"/>
        </w:rPr>
        <w:tab/>
        <w:t>Accepting and Declining Instructions</w:t>
      </w:r>
      <w:bookmarkEnd w:id="54"/>
      <w:r w:rsidRPr="00881683">
        <w:rPr>
          <w:rFonts w:ascii="Calibri" w:hAnsi="Calibri" w:cs="Calibri"/>
        </w:rPr>
        <w:t xml:space="preserve"> Procedure</w:t>
      </w:r>
    </w:p>
    <w:p w14:paraId="610F623E" w14:textId="77777777" w:rsidR="00EA42BF" w:rsidRDefault="00EA42BF" w:rsidP="00881683">
      <w:pPr>
        <w:spacing w:after="0" w:line="276" w:lineRule="auto"/>
        <w:jc w:val="both"/>
        <w:rPr>
          <w:rFonts w:ascii="Calibri" w:hAnsi="Calibri" w:cs="Calibri"/>
        </w:rPr>
      </w:pPr>
      <w:r w:rsidRPr="00881683">
        <w:rPr>
          <w:rFonts w:ascii="Calibri" w:hAnsi="Calibri" w:cs="Calibri"/>
        </w:rPr>
        <w:t>6.7.2</w:t>
      </w:r>
      <w:r w:rsidRPr="00881683">
        <w:rPr>
          <w:rFonts w:ascii="Calibri" w:hAnsi="Calibri" w:cs="Calibri"/>
        </w:rPr>
        <w:tab/>
        <w:t>Register of Declined Instructions</w:t>
      </w:r>
    </w:p>
    <w:p w14:paraId="7DED7765" w14:textId="77777777" w:rsidR="00881683" w:rsidRPr="00881683" w:rsidRDefault="00881683" w:rsidP="00881683">
      <w:pPr>
        <w:spacing w:after="0"/>
        <w:jc w:val="both"/>
        <w:rPr>
          <w:rFonts w:ascii="Calibri" w:hAnsi="Calibri" w:cs="Calibri"/>
        </w:rPr>
      </w:pPr>
    </w:p>
    <w:p w14:paraId="4E9003C3" w14:textId="047C5A88" w:rsidR="00EC3891" w:rsidRDefault="00EC3891" w:rsidP="009F073E">
      <w:pPr>
        <w:pStyle w:val="Heading2"/>
      </w:pPr>
      <w:r w:rsidRPr="009F073E">
        <w:t xml:space="preserve">Section 7 </w:t>
      </w:r>
      <w:r w:rsidR="009F073E">
        <w:t>-</w:t>
      </w:r>
      <w:r w:rsidRPr="009F073E">
        <w:t xml:space="preserve"> File and Case Management</w:t>
      </w:r>
    </w:p>
    <w:p w14:paraId="405E3DA8" w14:textId="77777777" w:rsidR="0014247E" w:rsidRPr="00881683" w:rsidRDefault="0014247E" w:rsidP="00881683">
      <w:pPr>
        <w:spacing w:after="0" w:line="276" w:lineRule="auto"/>
        <w:rPr>
          <w:rFonts w:ascii="Calibri" w:hAnsi="Calibri" w:cs="Calibri"/>
        </w:rPr>
      </w:pPr>
      <w:bookmarkStart w:id="55" w:name="_Toc176253076"/>
      <w:r w:rsidRPr="00881683">
        <w:rPr>
          <w:rFonts w:ascii="Calibri" w:hAnsi="Calibri" w:cs="Calibri"/>
        </w:rPr>
        <w:t>7.1.1</w:t>
      </w:r>
      <w:r w:rsidRPr="00881683">
        <w:rPr>
          <w:rFonts w:ascii="Calibri" w:hAnsi="Calibri" w:cs="Calibri"/>
        </w:rPr>
        <w:tab/>
        <w:t>Undertakings</w:t>
      </w:r>
      <w:bookmarkEnd w:id="55"/>
      <w:r w:rsidRPr="00881683">
        <w:rPr>
          <w:rFonts w:ascii="Calibri" w:hAnsi="Calibri" w:cs="Calibri"/>
        </w:rPr>
        <w:t xml:space="preserve"> Procedure </w:t>
      </w:r>
    </w:p>
    <w:p w14:paraId="7A703BB5" w14:textId="77777777" w:rsidR="0014247E" w:rsidRPr="00881683" w:rsidRDefault="0014247E" w:rsidP="00881683">
      <w:pPr>
        <w:spacing w:after="0" w:line="276" w:lineRule="auto"/>
        <w:rPr>
          <w:rFonts w:ascii="Calibri" w:hAnsi="Calibri" w:cs="Calibri"/>
        </w:rPr>
      </w:pPr>
      <w:r w:rsidRPr="00881683">
        <w:rPr>
          <w:rFonts w:ascii="Calibri" w:hAnsi="Calibri" w:cs="Calibri"/>
        </w:rPr>
        <w:t>7.1.2</w:t>
      </w:r>
      <w:r w:rsidRPr="00881683">
        <w:rPr>
          <w:rFonts w:ascii="Calibri" w:hAnsi="Calibri" w:cs="Calibri"/>
        </w:rPr>
        <w:tab/>
        <w:t>Non-Routine Central Undertakings Register</w:t>
      </w:r>
    </w:p>
    <w:p w14:paraId="3EAF7B40" w14:textId="77777777" w:rsidR="0014247E" w:rsidRPr="00881683" w:rsidRDefault="0014247E" w:rsidP="00881683">
      <w:pPr>
        <w:spacing w:after="0" w:line="276" w:lineRule="auto"/>
        <w:rPr>
          <w:rFonts w:ascii="Calibri" w:hAnsi="Calibri" w:cs="Calibri"/>
        </w:rPr>
      </w:pPr>
      <w:bookmarkStart w:id="56" w:name="_Toc176253077"/>
      <w:r w:rsidRPr="00881683">
        <w:rPr>
          <w:rFonts w:ascii="Calibri" w:hAnsi="Calibri" w:cs="Calibri"/>
        </w:rPr>
        <w:lastRenderedPageBreak/>
        <w:t>7.2</w:t>
      </w:r>
      <w:r w:rsidRPr="00881683">
        <w:rPr>
          <w:rFonts w:ascii="Calibri" w:hAnsi="Calibri" w:cs="Calibri"/>
        </w:rPr>
        <w:tab/>
        <w:t>File Management Procedure</w:t>
      </w:r>
      <w:bookmarkEnd w:id="56"/>
    </w:p>
    <w:p w14:paraId="6D1820B0" w14:textId="77777777" w:rsidR="0014247E" w:rsidRPr="00881683" w:rsidRDefault="0014247E" w:rsidP="00881683">
      <w:pPr>
        <w:spacing w:after="0" w:line="276" w:lineRule="auto"/>
        <w:rPr>
          <w:rFonts w:ascii="Calibri" w:hAnsi="Calibri" w:cs="Calibri"/>
        </w:rPr>
      </w:pPr>
      <w:bookmarkStart w:id="57" w:name="_Toc176253078"/>
      <w:r w:rsidRPr="00881683">
        <w:rPr>
          <w:rFonts w:ascii="Calibri" w:hAnsi="Calibri" w:cs="Calibri"/>
        </w:rPr>
        <w:t>7.3</w:t>
      </w:r>
      <w:r w:rsidRPr="00881683">
        <w:rPr>
          <w:rFonts w:ascii="Calibri" w:hAnsi="Calibri" w:cs="Calibri"/>
        </w:rPr>
        <w:tab/>
        <w:t>Matter Progression</w:t>
      </w:r>
      <w:bookmarkEnd w:id="57"/>
      <w:r w:rsidRPr="00881683">
        <w:rPr>
          <w:rFonts w:ascii="Calibri" w:hAnsi="Calibri" w:cs="Calibri"/>
        </w:rPr>
        <w:t xml:space="preserve"> Procedure </w:t>
      </w:r>
    </w:p>
    <w:p w14:paraId="51AAE2FE" w14:textId="77777777" w:rsidR="0014247E" w:rsidRPr="00881683" w:rsidRDefault="0014247E" w:rsidP="00881683">
      <w:pPr>
        <w:spacing w:after="0" w:line="276" w:lineRule="auto"/>
        <w:rPr>
          <w:rFonts w:ascii="Calibri" w:hAnsi="Calibri" w:cs="Calibri"/>
        </w:rPr>
      </w:pPr>
      <w:bookmarkStart w:id="58" w:name="_Toc176253079"/>
      <w:r w:rsidRPr="00881683">
        <w:rPr>
          <w:rFonts w:ascii="Calibri" w:hAnsi="Calibri" w:cs="Calibri"/>
        </w:rPr>
        <w:t>7.4</w:t>
      </w:r>
      <w:r w:rsidRPr="00881683">
        <w:rPr>
          <w:rFonts w:ascii="Calibri" w:hAnsi="Calibri" w:cs="Calibri"/>
        </w:rPr>
        <w:tab/>
        <w:t>Reducing Risk of HMLR Requisitions</w:t>
      </w:r>
      <w:bookmarkEnd w:id="58"/>
      <w:r w:rsidRPr="00881683">
        <w:rPr>
          <w:rFonts w:ascii="Calibri" w:hAnsi="Calibri" w:cs="Calibri"/>
        </w:rPr>
        <w:t xml:space="preserve"> Procedure </w:t>
      </w:r>
    </w:p>
    <w:p w14:paraId="23D30936" w14:textId="77777777" w:rsidR="0014247E" w:rsidRPr="00881683" w:rsidRDefault="0014247E" w:rsidP="00881683">
      <w:pPr>
        <w:spacing w:after="0" w:line="276" w:lineRule="auto"/>
        <w:rPr>
          <w:rFonts w:ascii="Calibri" w:hAnsi="Calibri" w:cs="Calibri"/>
        </w:rPr>
      </w:pPr>
      <w:bookmarkStart w:id="59" w:name="_Toc176253080"/>
      <w:r w:rsidRPr="00881683">
        <w:rPr>
          <w:rFonts w:ascii="Calibri" w:hAnsi="Calibri" w:cs="Calibri"/>
        </w:rPr>
        <w:t>7.5</w:t>
      </w:r>
      <w:r w:rsidRPr="00881683">
        <w:rPr>
          <w:rFonts w:ascii="Calibri" w:hAnsi="Calibri" w:cs="Calibri"/>
        </w:rPr>
        <w:tab/>
        <w:t>File Closing Procedure</w:t>
      </w:r>
      <w:bookmarkEnd w:id="59"/>
    </w:p>
    <w:p w14:paraId="20BA97D8" w14:textId="77777777" w:rsidR="009F073E" w:rsidRPr="009F073E" w:rsidRDefault="009F073E" w:rsidP="009F073E"/>
    <w:p w14:paraId="0D268025" w14:textId="77777777" w:rsidR="009F073E" w:rsidRPr="009F073E" w:rsidRDefault="009F073E" w:rsidP="009F073E">
      <w:pPr>
        <w:pStyle w:val="Heading2"/>
      </w:pPr>
      <w:r w:rsidRPr="009F073E">
        <w:t xml:space="preserve">Additional Documents </w:t>
      </w:r>
    </w:p>
    <w:p w14:paraId="5CF23A8D" w14:textId="77777777" w:rsidR="00881683" w:rsidRPr="00713F42" w:rsidRDefault="00881683" w:rsidP="00881683">
      <w:pPr>
        <w:spacing w:after="0" w:line="276" w:lineRule="auto"/>
        <w:rPr>
          <w:rFonts w:ascii="Calibri" w:hAnsi="Calibri" w:cs="Calibri"/>
        </w:rPr>
      </w:pPr>
      <w:r w:rsidRPr="00713F42">
        <w:rPr>
          <w:rFonts w:ascii="Calibri" w:hAnsi="Calibri" w:cs="Calibri"/>
        </w:rPr>
        <w:t xml:space="preserve">Equality, Diversity and Inclusion Policy </w:t>
      </w:r>
    </w:p>
    <w:p w14:paraId="53BD26FC" w14:textId="77777777" w:rsidR="00881683" w:rsidRPr="00713F42" w:rsidRDefault="00881683" w:rsidP="00881683">
      <w:pPr>
        <w:spacing w:after="0" w:line="276" w:lineRule="auto"/>
        <w:rPr>
          <w:rFonts w:ascii="Calibri" w:hAnsi="Calibri" w:cs="Calibri"/>
        </w:rPr>
      </w:pPr>
      <w:r w:rsidRPr="00713F42">
        <w:rPr>
          <w:rFonts w:ascii="Calibri" w:hAnsi="Calibri" w:cs="Calibri"/>
        </w:rPr>
        <w:t xml:space="preserve">Whistleblowing Policy </w:t>
      </w:r>
    </w:p>
    <w:p w14:paraId="1A8D83BD" w14:textId="77777777" w:rsidR="00881683" w:rsidRPr="00713F42" w:rsidRDefault="00881683" w:rsidP="00881683">
      <w:pPr>
        <w:spacing w:after="0" w:line="276" w:lineRule="auto"/>
        <w:rPr>
          <w:rFonts w:ascii="Calibri" w:hAnsi="Calibri" w:cs="Calibri"/>
        </w:rPr>
      </w:pPr>
      <w:r w:rsidRPr="00713F42">
        <w:rPr>
          <w:rFonts w:ascii="Calibri" w:hAnsi="Calibri" w:cs="Calibri"/>
        </w:rPr>
        <w:t>AML Registers (2025)</w:t>
      </w:r>
    </w:p>
    <w:p w14:paraId="4203BC9B" w14:textId="77777777" w:rsidR="00881683" w:rsidRPr="00713F42" w:rsidRDefault="00881683" w:rsidP="00881683">
      <w:pPr>
        <w:spacing w:after="0" w:line="276" w:lineRule="auto"/>
        <w:rPr>
          <w:rFonts w:ascii="Calibri" w:hAnsi="Calibri" w:cs="Calibri"/>
        </w:rPr>
      </w:pPr>
      <w:r w:rsidRPr="00713F42">
        <w:rPr>
          <w:rFonts w:ascii="Calibri" w:hAnsi="Calibri" w:cs="Calibri"/>
        </w:rPr>
        <w:t xml:space="preserve">Complaints Register </w:t>
      </w:r>
    </w:p>
    <w:p w14:paraId="24676312" w14:textId="77777777" w:rsidR="00881683" w:rsidRPr="00713F42" w:rsidRDefault="00881683" w:rsidP="00881683">
      <w:pPr>
        <w:spacing w:after="0" w:line="276" w:lineRule="auto"/>
        <w:rPr>
          <w:rFonts w:ascii="Calibri" w:hAnsi="Calibri" w:cs="Calibri"/>
        </w:rPr>
      </w:pPr>
      <w:r w:rsidRPr="00713F42">
        <w:rPr>
          <w:rFonts w:ascii="Calibri" w:hAnsi="Calibri" w:cs="Calibri"/>
        </w:rPr>
        <w:t xml:space="preserve">Data Breach Register </w:t>
      </w:r>
    </w:p>
    <w:p w14:paraId="2D507E6F" w14:textId="77777777" w:rsidR="00881683" w:rsidRPr="00713F42" w:rsidRDefault="00881683" w:rsidP="00881683">
      <w:pPr>
        <w:spacing w:after="0" w:line="276" w:lineRule="auto"/>
        <w:rPr>
          <w:rFonts w:ascii="Calibri" w:hAnsi="Calibri" w:cs="Calibri"/>
        </w:rPr>
      </w:pPr>
      <w:r w:rsidRPr="00713F42">
        <w:rPr>
          <w:rFonts w:ascii="Calibri" w:hAnsi="Calibri" w:cs="Calibri"/>
        </w:rPr>
        <w:t xml:space="preserve">File Review Log </w:t>
      </w:r>
    </w:p>
    <w:p w14:paraId="5DF71A6A" w14:textId="77777777" w:rsidR="00416869" w:rsidRDefault="00416869" w:rsidP="00DD249A">
      <w:pPr>
        <w:spacing w:after="0"/>
      </w:pPr>
    </w:p>
    <w:p w14:paraId="4FEB8B79" w14:textId="77777777" w:rsidR="00DD249A" w:rsidRDefault="00DD249A" w:rsidP="00DD249A">
      <w:pPr>
        <w:pStyle w:val="Heading2"/>
        <w:spacing w:before="0" w:line="276" w:lineRule="auto"/>
        <w:rPr>
          <w:rFonts w:eastAsia="Times New Roman"/>
          <w:lang w:eastAsia="en-GB"/>
        </w:rPr>
      </w:pPr>
      <w:r>
        <w:rPr>
          <w:rFonts w:eastAsia="Times New Roman"/>
          <w:lang w:eastAsia="en-GB"/>
        </w:rPr>
        <w:t>Document Version Control</w:t>
      </w:r>
    </w:p>
    <w:p w14:paraId="1A527CD2" w14:textId="77777777" w:rsidR="00DD249A" w:rsidRDefault="00DD249A" w:rsidP="00DD249A">
      <w:pPr>
        <w:spacing w:after="0"/>
        <w:jc w:val="both"/>
        <w:rPr>
          <w:rFonts w:ascii="Calibri" w:hAnsi="Calibri" w:cs="Calibri"/>
          <w:lang w:eastAsia="en-GB"/>
        </w:rPr>
      </w:pPr>
    </w:p>
    <w:tbl>
      <w:tblPr>
        <w:tblStyle w:val="TableGridLight"/>
        <w:tblpPr w:leftFromText="180" w:rightFromText="180" w:vertAnchor="text" w:horzAnchor="margin" w:tblpY="28"/>
        <w:tblW w:w="9210" w:type="dxa"/>
        <w:tblLayout w:type="fixed"/>
        <w:tblLook w:val="04A0" w:firstRow="1" w:lastRow="0" w:firstColumn="1" w:lastColumn="0" w:noHBand="0" w:noVBand="1"/>
      </w:tblPr>
      <w:tblGrid>
        <w:gridCol w:w="1272"/>
        <w:gridCol w:w="1559"/>
        <w:gridCol w:w="2268"/>
        <w:gridCol w:w="1418"/>
        <w:gridCol w:w="2693"/>
      </w:tblGrid>
      <w:tr w:rsidR="00DD249A" w14:paraId="18D30A57" w14:textId="77777777" w:rsidTr="00DD249A"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98B524A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>Date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20E0BE19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>Version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68E9770F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>Issued by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F895A35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>Type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33568257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>Changes</w:t>
            </w:r>
          </w:p>
        </w:tc>
      </w:tr>
      <w:tr w:rsidR="00DD249A" w14:paraId="3184C166" w14:textId="77777777" w:rsidTr="00DD249A"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73407110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 xml:space="preserve">31/03/2025 </w:t>
            </w: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0A3E5B44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>1.0</w:t>
            </w: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53FFB46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  <w:t>The CS Partnership</w:t>
            </w: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52976F6A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>Document</w:t>
            </w: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14:paraId="169A1E2F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2"/>
                <w:szCs w:val="22"/>
                <w:bdr w:val="none" w:sz="0" w:space="0" w:color="auto" w:frame="1"/>
                <w:lang w:eastAsia="en-GB"/>
              </w:rPr>
              <w:t>Document Created</w:t>
            </w:r>
          </w:p>
        </w:tc>
      </w:tr>
      <w:tr w:rsidR="00DD249A" w14:paraId="3E621DEE" w14:textId="77777777" w:rsidTr="00DD249A">
        <w:tc>
          <w:tcPr>
            <w:tcW w:w="127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FC351B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28E187E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</w:pPr>
          </w:p>
        </w:tc>
        <w:tc>
          <w:tcPr>
            <w:tcW w:w="226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04E386C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color w:val="000000" w:themeColor="text1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3D745E0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</w:pPr>
          </w:p>
        </w:tc>
        <w:tc>
          <w:tcPr>
            <w:tcW w:w="269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A08D86" w14:textId="77777777" w:rsidR="00DD249A" w:rsidRDefault="00DD249A">
            <w:pPr>
              <w:spacing w:line="276" w:lineRule="auto"/>
              <w:ind w:right="-330"/>
              <w:rPr>
                <w:rFonts w:ascii="Calibri" w:eastAsia="Times New Roman" w:hAnsi="Calibri" w:cs="Calibri"/>
                <w:color w:val="000000" w:themeColor="text1"/>
                <w:bdr w:val="none" w:sz="0" w:space="0" w:color="auto" w:frame="1"/>
                <w:lang w:eastAsia="en-GB"/>
              </w:rPr>
            </w:pPr>
          </w:p>
        </w:tc>
      </w:tr>
    </w:tbl>
    <w:p w14:paraId="5522FB8A" w14:textId="77777777" w:rsidR="00DD249A" w:rsidRDefault="00DD249A" w:rsidP="00DD249A">
      <w:pPr>
        <w:spacing w:after="100" w:afterAutospacing="1"/>
        <w:ind w:right="-330"/>
        <w:rPr>
          <w:rFonts w:ascii="Calibri" w:hAnsi="Calibri" w:cs="Calibri"/>
          <w:highlight w:val="yellow"/>
        </w:rPr>
      </w:pPr>
    </w:p>
    <w:p w14:paraId="5E00E28D" w14:textId="77777777" w:rsidR="00DD249A" w:rsidRDefault="00DD249A" w:rsidP="00416869"/>
    <w:p w14:paraId="581A2ACA" w14:textId="77777777" w:rsidR="00416869" w:rsidRDefault="00416869" w:rsidP="00416869"/>
    <w:p w14:paraId="36817B60" w14:textId="77777777" w:rsidR="00416869" w:rsidRPr="00416869" w:rsidRDefault="00416869" w:rsidP="00416869"/>
    <w:bookmarkEnd w:id="0"/>
    <w:p w14:paraId="0D702E9B" w14:textId="77777777" w:rsidR="003505D2" w:rsidRPr="003505D2" w:rsidRDefault="003505D2" w:rsidP="003505D2">
      <w:pPr>
        <w:jc w:val="center"/>
        <w:rPr>
          <w:rFonts w:ascii="Calibri" w:hAnsi="Calibri" w:cs="Calibri"/>
        </w:rPr>
      </w:pPr>
    </w:p>
    <w:sectPr w:rsidR="003505D2" w:rsidRPr="003505D2" w:rsidSect="00507CC1">
      <w:headerReference w:type="default" r:id="rId10"/>
      <w:footerReference w:type="default" r:id="rId11"/>
      <w:pgSz w:w="11906" w:h="16838"/>
      <w:pgMar w:top="1440" w:right="1394" w:bottom="1440" w:left="144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D6810" w14:textId="77777777" w:rsidR="0042793A" w:rsidRDefault="0042793A" w:rsidP="0010459F">
      <w:pPr>
        <w:spacing w:after="0" w:line="240" w:lineRule="auto"/>
      </w:pPr>
      <w:r>
        <w:separator/>
      </w:r>
    </w:p>
  </w:endnote>
  <w:endnote w:type="continuationSeparator" w:id="0">
    <w:p w14:paraId="3FB5772B" w14:textId="77777777" w:rsidR="0042793A" w:rsidRDefault="0042793A" w:rsidP="0010459F">
      <w:pPr>
        <w:spacing w:after="0" w:line="240" w:lineRule="auto"/>
      </w:pPr>
      <w:r>
        <w:continuationSeparator/>
      </w:r>
    </w:p>
  </w:endnote>
  <w:endnote w:type="continuationNotice" w:id="1">
    <w:p w14:paraId="13F7614B" w14:textId="77777777" w:rsidR="0042793A" w:rsidRDefault="0042793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B5AD3" w14:textId="77777777" w:rsidR="001C543E" w:rsidRDefault="001C543E" w:rsidP="001C543E">
    <w:pPr>
      <w:pStyle w:val="Footer"/>
      <w:tabs>
        <w:tab w:val="clear" w:pos="9026"/>
      </w:tabs>
      <w:ind w:right="-330"/>
      <w:rPr>
        <w:rFonts w:ascii="Calibri" w:hAnsi="Calibri" w:cs="Calibri"/>
        <w:color w:val="4472C4" w:themeColor="accent1"/>
        <w:sz w:val="16"/>
        <w:szCs w:val="16"/>
      </w:rPr>
    </w:pPr>
  </w:p>
  <w:p w14:paraId="3F453D74" w14:textId="02D1EB99" w:rsidR="001C543E" w:rsidRPr="00B721E5" w:rsidRDefault="009F073E" w:rsidP="00A158E5">
    <w:pPr>
      <w:tabs>
        <w:tab w:val="right" w:pos="9356"/>
      </w:tabs>
      <w:spacing w:after="0" w:line="276" w:lineRule="auto"/>
      <w:ind w:left="567" w:right="-330" w:hanging="567"/>
      <w:jc w:val="both"/>
      <w:rPr>
        <w:rFonts w:ascii="Calibri" w:eastAsia="Arial Unicode MS" w:hAnsi="Calibri" w:cs="Calibri"/>
        <w:bCs/>
        <w:color w:val="2F5496" w:themeColor="accent1" w:themeShade="BF"/>
        <w:kern w:val="0"/>
        <w:sz w:val="16"/>
        <w:szCs w:val="16"/>
        <w:bdr w:val="nil"/>
        <w:lang w:val="en-US"/>
        <w14:ligatures w14:val="none"/>
      </w:rPr>
    </w:pPr>
    <w:r>
      <w:rPr>
        <w:rFonts w:ascii="Calibri" w:eastAsia="Arial Unicode MS" w:hAnsi="Calibri" w:cs="Calibri"/>
        <w:bCs/>
        <w:color w:val="2F5496" w:themeColor="accent1" w:themeShade="BF"/>
        <w:kern w:val="0"/>
        <w:sz w:val="16"/>
        <w:szCs w:val="16"/>
        <w:bdr w:val="nil"/>
        <w:lang w:val="en-US"/>
        <w14:ligatures w14:val="none"/>
      </w:rPr>
      <w:t>The CQS Manual</w:t>
    </w:r>
    <w:r w:rsidR="001C543E" w:rsidRPr="00B721E5">
      <w:rPr>
        <w:rFonts w:ascii="Calibri" w:eastAsia="Arial Unicode MS" w:hAnsi="Calibri" w:cs="Calibri"/>
        <w:bCs/>
        <w:color w:val="2F5496" w:themeColor="accent1" w:themeShade="BF"/>
        <w:kern w:val="0"/>
        <w:sz w:val="16"/>
        <w:szCs w:val="16"/>
        <w:bdr w:val="nil"/>
        <w:lang w:val="en-US"/>
        <w14:ligatures w14:val="none"/>
      </w:rPr>
      <w:tab/>
    </w:r>
    <w:r w:rsidR="00A158E5" w:rsidRPr="00B721E5">
      <w:rPr>
        <w:rFonts w:ascii="Calibri" w:eastAsia="Arial Unicode MS" w:hAnsi="Calibri" w:cs="Calibri"/>
        <w:bCs/>
        <w:color w:val="2F5496" w:themeColor="accent1" w:themeShade="BF"/>
        <w:kern w:val="0"/>
        <w:sz w:val="16"/>
        <w:szCs w:val="16"/>
        <w:bdr w:val="nil"/>
        <w:lang w:val="en-US"/>
        <w14:ligatures w14:val="none"/>
      </w:rPr>
      <w:t>v1.0 (</w:t>
    </w:r>
    <w:r w:rsidR="005B1FC7">
      <w:rPr>
        <w:rFonts w:ascii="Calibri" w:eastAsia="Arial Unicode MS" w:hAnsi="Calibri" w:cs="Calibri"/>
        <w:bCs/>
        <w:color w:val="2F5496" w:themeColor="accent1" w:themeShade="BF"/>
        <w:kern w:val="0"/>
        <w:sz w:val="16"/>
        <w:szCs w:val="16"/>
        <w:bdr w:val="nil"/>
        <w:lang w:val="en-US"/>
        <w14:ligatures w14:val="none"/>
      </w:rPr>
      <w:t>March 2025</w:t>
    </w:r>
    <w:r w:rsidR="00A158E5" w:rsidRPr="00B721E5">
      <w:rPr>
        <w:rFonts w:ascii="Calibri" w:eastAsia="Arial Unicode MS" w:hAnsi="Calibri" w:cs="Calibri"/>
        <w:bCs/>
        <w:color w:val="2F5496" w:themeColor="accent1" w:themeShade="BF"/>
        <w:kern w:val="0"/>
        <w:sz w:val="16"/>
        <w:szCs w:val="16"/>
        <w:bdr w:val="nil"/>
        <w:lang w:val="en-US"/>
        <w14:ligatures w14:val="none"/>
      </w:rPr>
      <w:t>)</w:t>
    </w:r>
  </w:p>
  <w:p w14:paraId="42B75C14" w14:textId="04B75EFE" w:rsidR="001C543E" w:rsidRPr="00B721E5" w:rsidRDefault="001C543E" w:rsidP="00A158E5">
    <w:pPr>
      <w:pStyle w:val="Footer"/>
      <w:tabs>
        <w:tab w:val="clear" w:pos="9026"/>
        <w:tab w:val="right" w:pos="9356"/>
      </w:tabs>
      <w:ind w:right="-330"/>
      <w:rPr>
        <w:rFonts w:ascii="Calibri" w:hAnsi="Calibri" w:cs="Calibri"/>
        <w:color w:val="2F5496" w:themeColor="accent1" w:themeShade="BF"/>
        <w:sz w:val="16"/>
        <w:szCs w:val="16"/>
      </w:rPr>
    </w:pPr>
    <w:r w:rsidRPr="00B721E5">
      <w:rPr>
        <w:rFonts w:ascii="Calibri" w:hAnsi="Calibri" w:cs="Calibri"/>
        <w:color w:val="2F5496" w:themeColor="accent1" w:themeShade="BF"/>
        <w:sz w:val="16"/>
        <w:szCs w:val="16"/>
      </w:rPr>
      <w:t>The CS Partnership</w:t>
    </w:r>
    <w:r w:rsidRPr="00B721E5">
      <w:rPr>
        <w:rFonts w:ascii="Calibri" w:hAnsi="Calibri" w:cs="Calibri"/>
        <w:color w:val="2F5496" w:themeColor="accent1" w:themeShade="BF"/>
        <w:sz w:val="16"/>
        <w:szCs w:val="16"/>
      </w:rPr>
      <w:tab/>
    </w:r>
    <w:r w:rsidRPr="00B721E5">
      <w:rPr>
        <w:rFonts w:ascii="Calibri" w:hAnsi="Calibri" w:cs="Calibri"/>
        <w:color w:val="2F5496" w:themeColor="accent1" w:themeShade="BF"/>
        <w:sz w:val="16"/>
        <w:szCs w:val="16"/>
      </w:rPr>
      <w:tab/>
      <w:t xml:space="preserve">Page </w:t>
    </w:r>
    <w:r w:rsidRPr="00B721E5">
      <w:rPr>
        <w:rFonts w:ascii="Calibri" w:hAnsi="Calibri" w:cs="Calibri"/>
        <w:color w:val="2F5496" w:themeColor="accent1" w:themeShade="BF"/>
        <w:sz w:val="16"/>
        <w:szCs w:val="16"/>
      </w:rPr>
      <w:fldChar w:fldCharType="begin"/>
    </w:r>
    <w:r w:rsidRPr="00B721E5">
      <w:rPr>
        <w:rFonts w:ascii="Calibri" w:hAnsi="Calibri" w:cs="Calibri"/>
        <w:color w:val="2F5496" w:themeColor="accent1" w:themeShade="BF"/>
        <w:sz w:val="16"/>
        <w:szCs w:val="16"/>
      </w:rPr>
      <w:instrText xml:space="preserve"> PAGE </w:instrText>
    </w:r>
    <w:r w:rsidRPr="00B721E5">
      <w:rPr>
        <w:rFonts w:ascii="Calibri" w:hAnsi="Calibri" w:cs="Calibri"/>
        <w:color w:val="2F5496" w:themeColor="accent1" w:themeShade="BF"/>
        <w:sz w:val="16"/>
        <w:szCs w:val="16"/>
      </w:rPr>
      <w:fldChar w:fldCharType="separate"/>
    </w:r>
    <w:r w:rsidRPr="00B721E5">
      <w:rPr>
        <w:rFonts w:ascii="Calibri" w:hAnsi="Calibri" w:cs="Calibri"/>
        <w:noProof/>
        <w:color w:val="2F5496" w:themeColor="accent1" w:themeShade="BF"/>
        <w:sz w:val="16"/>
        <w:szCs w:val="16"/>
      </w:rPr>
      <w:t>2</w:t>
    </w:r>
    <w:r w:rsidRPr="00B721E5">
      <w:rPr>
        <w:rFonts w:ascii="Calibri" w:hAnsi="Calibri" w:cs="Calibri"/>
        <w:color w:val="2F5496" w:themeColor="accent1" w:themeShade="BF"/>
        <w:sz w:val="16"/>
        <w:szCs w:val="16"/>
      </w:rPr>
      <w:fldChar w:fldCharType="end"/>
    </w:r>
    <w:r w:rsidRPr="00B721E5">
      <w:rPr>
        <w:rFonts w:ascii="Calibri" w:hAnsi="Calibri" w:cs="Calibri"/>
        <w:color w:val="2F5496" w:themeColor="accent1" w:themeShade="BF"/>
        <w:sz w:val="16"/>
        <w:szCs w:val="16"/>
      </w:rPr>
      <w:t xml:space="preserve"> of </w:t>
    </w:r>
    <w:r w:rsidRPr="00B721E5">
      <w:rPr>
        <w:rFonts w:ascii="Calibri" w:hAnsi="Calibri" w:cs="Calibri"/>
        <w:color w:val="2F5496" w:themeColor="accent1" w:themeShade="BF"/>
        <w:sz w:val="16"/>
        <w:szCs w:val="16"/>
      </w:rPr>
      <w:fldChar w:fldCharType="begin"/>
    </w:r>
    <w:r w:rsidRPr="00B721E5">
      <w:rPr>
        <w:rFonts w:ascii="Calibri" w:hAnsi="Calibri" w:cs="Calibri"/>
        <w:color w:val="2F5496" w:themeColor="accent1" w:themeShade="BF"/>
        <w:sz w:val="16"/>
        <w:szCs w:val="16"/>
      </w:rPr>
      <w:instrText xml:space="preserve"> NUMPAGES </w:instrText>
    </w:r>
    <w:r w:rsidRPr="00B721E5">
      <w:rPr>
        <w:rFonts w:ascii="Calibri" w:hAnsi="Calibri" w:cs="Calibri"/>
        <w:color w:val="2F5496" w:themeColor="accent1" w:themeShade="BF"/>
        <w:sz w:val="16"/>
        <w:szCs w:val="16"/>
      </w:rPr>
      <w:fldChar w:fldCharType="separate"/>
    </w:r>
    <w:r w:rsidRPr="00B721E5">
      <w:rPr>
        <w:rFonts w:ascii="Calibri" w:hAnsi="Calibri" w:cs="Calibri"/>
        <w:noProof/>
        <w:color w:val="2F5496" w:themeColor="accent1" w:themeShade="BF"/>
        <w:sz w:val="16"/>
        <w:szCs w:val="16"/>
      </w:rPr>
      <w:t>3</w:t>
    </w:r>
    <w:r w:rsidRPr="00B721E5">
      <w:rPr>
        <w:rFonts w:ascii="Calibri" w:hAnsi="Calibri" w:cs="Calibri"/>
        <w:color w:val="2F5496" w:themeColor="accent1" w:themeShade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150E71" w14:textId="77777777" w:rsidR="0042793A" w:rsidRDefault="0042793A" w:rsidP="0010459F">
      <w:pPr>
        <w:spacing w:after="0" w:line="240" w:lineRule="auto"/>
      </w:pPr>
      <w:r>
        <w:separator/>
      </w:r>
    </w:p>
  </w:footnote>
  <w:footnote w:type="continuationSeparator" w:id="0">
    <w:p w14:paraId="767F69AB" w14:textId="77777777" w:rsidR="0042793A" w:rsidRDefault="0042793A" w:rsidP="0010459F">
      <w:pPr>
        <w:spacing w:after="0" w:line="240" w:lineRule="auto"/>
      </w:pPr>
      <w:r>
        <w:continuationSeparator/>
      </w:r>
    </w:p>
  </w:footnote>
  <w:footnote w:type="continuationNotice" w:id="1">
    <w:p w14:paraId="24E2F950" w14:textId="77777777" w:rsidR="0042793A" w:rsidRDefault="0042793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EF31FC" w14:textId="13B4FFF4" w:rsidR="0010459F" w:rsidRDefault="0010459F">
    <w:pPr>
      <w:pStyle w:val="Header"/>
    </w:pPr>
    <w:r>
      <w:t xml:space="preserve">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14D04"/>
    <w:multiLevelType w:val="multilevel"/>
    <w:tmpl w:val="B68A4F44"/>
    <w:lvl w:ilvl="0">
      <w:start w:val="1"/>
      <w:numFmt w:val="decimal"/>
      <w:pStyle w:val="TitleClause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olor w:val="2F5496" w:themeColor="accent1" w:themeShade="BF"/>
      </w:rPr>
    </w:lvl>
    <w:lvl w:ilvl="1">
      <w:start w:val="1"/>
      <w:numFmt w:val="decimal"/>
      <w:pStyle w:val="Untitledsubclause1"/>
      <w:lvlText w:val="%1.%2"/>
      <w:lvlJc w:val="left"/>
      <w:pPr>
        <w:tabs>
          <w:tab w:val="num" w:pos="720"/>
        </w:tabs>
        <w:ind w:left="720" w:hanging="720"/>
      </w:pPr>
      <w:rPr>
        <w:rFonts w:asciiTheme="minorHAnsi" w:hAnsiTheme="minorHAnsi" w:hint="default"/>
        <w:b w:val="0"/>
        <w:bCs w:val="0"/>
        <w:color w:val="2F5496" w:themeColor="accent1" w:themeShade="BF"/>
        <w:sz w:val="22"/>
        <w:szCs w:val="22"/>
      </w:rPr>
    </w:lvl>
    <w:lvl w:ilvl="2">
      <w:start w:val="1"/>
      <w:numFmt w:val="bullet"/>
      <w:pStyle w:val="Untitledsubclause2"/>
      <w:lvlText w:val=""/>
      <w:lvlJc w:val="left"/>
      <w:pPr>
        <w:ind w:left="1354" w:hanging="360"/>
      </w:pPr>
      <w:rPr>
        <w:rFonts w:ascii="Symbol" w:hAnsi="Symbol" w:hint="default"/>
      </w:rPr>
    </w:lvl>
    <w:lvl w:ilvl="3">
      <w:start w:val="1"/>
      <w:numFmt w:val="lowerRoman"/>
      <w:pStyle w:val="Untitledsubclause3"/>
      <w:lvlText w:val="(%4)"/>
      <w:lvlJc w:val="left"/>
      <w:pPr>
        <w:tabs>
          <w:tab w:val="num" w:pos="2419"/>
        </w:tabs>
        <w:ind w:left="2275" w:hanging="576"/>
      </w:pPr>
      <w:rPr>
        <w:rFonts w:hint="default"/>
        <w:color w:val="2F5496" w:themeColor="accent1" w:themeShade="BF"/>
        <w:sz w:val="20"/>
      </w:rPr>
    </w:lvl>
    <w:lvl w:ilvl="4">
      <w:start w:val="1"/>
      <w:numFmt w:val="upperLetter"/>
      <w:pStyle w:val="Untitledsubclause4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7143D49"/>
    <w:multiLevelType w:val="hybridMultilevel"/>
    <w:tmpl w:val="927AC016"/>
    <w:lvl w:ilvl="0" w:tplc="3B7A02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A130E"/>
    <w:multiLevelType w:val="hybridMultilevel"/>
    <w:tmpl w:val="664E5E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249CD"/>
    <w:multiLevelType w:val="hybridMultilevel"/>
    <w:tmpl w:val="FE2A3506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37D59B9"/>
    <w:multiLevelType w:val="hybridMultilevel"/>
    <w:tmpl w:val="BEBA969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72235A0"/>
    <w:multiLevelType w:val="hybridMultilevel"/>
    <w:tmpl w:val="DFD449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60BD4"/>
    <w:multiLevelType w:val="hybridMultilevel"/>
    <w:tmpl w:val="0F267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14296"/>
    <w:multiLevelType w:val="hybridMultilevel"/>
    <w:tmpl w:val="747AF044"/>
    <w:lvl w:ilvl="0" w:tplc="3B7A02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F13314"/>
    <w:multiLevelType w:val="hybridMultilevel"/>
    <w:tmpl w:val="76983C5E"/>
    <w:lvl w:ilvl="0" w:tplc="3B7A02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C5426B"/>
    <w:multiLevelType w:val="hybridMultilevel"/>
    <w:tmpl w:val="054A66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B03B83"/>
    <w:multiLevelType w:val="hybridMultilevel"/>
    <w:tmpl w:val="B764F9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30F1145"/>
    <w:multiLevelType w:val="hybridMultilevel"/>
    <w:tmpl w:val="6FE28C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954D1"/>
    <w:multiLevelType w:val="hybridMultilevel"/>
    <w:tmpl w:val="CF3CD876"/>
    <w:lvl w:ilvl="0" w:tplc="3B7A02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AC7259"/>
    <w:multiLevelType w:val="hybridMultilevel"/>
    <w:tmpl w:val="173E2B4C"/>
    <w:lvl w:ilvl="0" w:tplc="3B7A02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C066FA"/>
    <w:multiLevelType w:val="hybridMultilevel"/>
    <w:tmpl w:val="81F63524"/>
    <w:lvl w:ilvl="0" w:tplc="3B7A02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0E1A07"/>
    <w:multiLevelType w:val="hybridMultilevel"/>
    <w:tmpl w:val="D0A87C8E"/>
    <w:lvl w:ilvl="0" w:tplc="F228A54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359C0"/>
    <w:multiLevelType w:val="hybridMultilevel"/>
    <w:tmpl w:val="E7C87F6A"/>
    <w:lvl w:ilvl="0" w:tplc="3B7A02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1597E"/>
    <w:multiLevelType w:val="hybridMultilevel"/>
    <w:tmpl w:val="A7304C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4C3100"/>
    <w:multiLevelType w:val="hybridMultilevel"/>
    <w:tmpl w:val="FEC6894E"/>
    <w:lvl w:ilvl="0" w:tplc="3B7A02A4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b/>
        <w:bCs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D80D2B"/>
    <w:multiLevelType w:val="hybridMultilevel"/>
    <w:tmpl w:val="B34C07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509E8"/>
    <w:multiLevelType w:val="hybridMultilevel"/>
    <w:tmpl w:val="8D1034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055EF7"/>
    <w:multiLevelType w:val="multilevel"/>
    <w:tmpl w:val="CE506A7A"/>
    <w:lvl w:ilvl="0">
      <w:start w:val="4"/>
      <w:numFmt w:val="decimal"/>
      <w:lvlText w:val="%1"/>
      <w:lvlJc w:val="left"/>
      <w:pPr>
        <w:ind w:left="672" w:hanging="672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1">
      <w:start w:val="1"/>
      <w:numFmt w:val="decimal"/>
      <w:lvlText w:val="%1.%2"/>
      <w:lvlJc w:val="left"/>
      <w:pPr>
        <w:ind w:left="672" w:hanging="672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</w:abstractNum>
  <w:abstractNum w:abstractNumId="22" w15:restartNumberingAfterBreak="0">
    <w:nsid w:val="61095353"/>
    <w:multiLevelType w:val="multilevel"/>
    <w:tmpl w:val="ABBE4D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86793428">
    <w:abstractNumId w:val="15"/>
  </w:num>
  <w:num w:numId="2" w16cid:durableId="2067339957">
    <w:abstractNumId w:val="13"/>
  </w:num>
  <w:num w:numId="3" w16cid:durableId="973026946">
    <w:abstractNumId w:val="12"/>
  </w:num>
  <w:num w:numId="4" w16cid:durableId="1697652764">
    <w:abstractNumId w:val="18"/>
  </w:num>
  <w:num w:numId="5" w16cid:durableId="404306657">
    <w:abstractNumId w:val="16"/>
  </w:num>
  <w:num w:numId="6" w16cid:durableId="351146432">
    <w:abstractNumId w:val="6"/>
  </w:num>
  <w:num w:numId="7" w16cid:durableId="763065228">
    <w:abstractNumId w:val="8"/>
  </w:num>
  <w:num w:numId="8" w16cid:durableId="688724219">
    <w:abstractNumId w:val="1"/>
  </w:num>
  <w:num w:numId="9" w16cid:durableId="1241596840">
    <w:abstractNumId w:val="14"/>
  </w:num>
  <w:num w:numId="10" w16cid:durableId="1086074282">
    <w:abstractNumId w:val="7"/>
  </w:num>
  <w:num w:numId="11" w16cid:durableId="778987164">
    <w:abstractNumId w:val="17"/>
  </w:num>
  <w:num w:numId="12" w16cid:durableId="256403224">
    <w:abstractNumId w:val="19"/>
  </w:num>
  <w:num w:numId="13" w16cid:durableId="1281374598">
    <w:abstractNumId w:val="9"/>
  </w:num>
  <w:num w:numId="14" w16cid:durableId="1652979172">
    <w:abstractNumId w:val="0"/>
  </w:num>
  <w:num w:numId="15" w16cid:durableId="354039711">
    <w:abstractNumId w:val="2"/>
  </w:num>
  <w:num w:numId="16" w16cid:durableId="718554158">
    <w:abstractNumId w:val="22"/>
  </w:num>
  <w:num w:numId="17" w16cid:durableId="2002810956">
    <w:abstractNumId w:val="20"/>
  </w:num>
  <w:num w:numId="18" w16cid:durableId="599917618">
    <w:abstractNumId w:val="5"/>
  </w:num>
  <w:num w:numId="19" w16cid:durableId="592323927">
    <w:abstractNumId w:val="21"/>
  </w:num>
  <w:num w:numId="20" w16cid:durableId="976449210">
    <w:abstractNumId w:val="11"/>
  </w:num>
  <w:num w:numId="21" w16cid:durableId="836267866">
    <w:abstractNumId w:val="3"/>
  </w:num>
  <w:num w:numId="22" w16cid:durableId="1445271601">
    <w:abstractNumId w:val="10"/>
  </w:num>
  <w:num w:numId="23" w16cid:durableId="11664404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59F"/>
    <w:rsid w:val="00004A1A"/>
    <w:rsid w:val="000073C2"/>
    <w:rsid w:val="00011C1B"/>
    <w:rsid w:val="000138D4"/>
    <w:rsid w:val="00020BAF"/>
    <w:rsid w:val="000238F1"/>
    <w:rsid w:val="000300CC"/>
    <w:rsid w:val="0005755C"/>
    <w:rsid w:val="00066398"/>
    <w:rsid w:val="00077755"/>
    <w:rsid w:val="00082D29"/>
    <w:rsid w:val="000830C5"/>
    <w:rsid w:val="000900A8"/>
    <w:rsid w:val="000C323B"/>
    <w:rsid w:val="000C6556"/>
    <w:rsid w:val="000D1207"/>
    <w:rsid w:val="000E0E8C"/>
    <w:rsid w:val="000E167E"/>
    <w:rsid w:val="000E2232"/>
    <w:rsid w:val="000E33BA"/>
    <w:rsid w:val="000E7F0F"/>
    <w:rsid w:val="00104044"/>
    <w:rsid w:val="0010459F"/>
    <w:rsid w:val="00107FBD"/>
    <w:rsid w:val="0014247E"/>
    <w:rsid w:val="00144B45"/>
    <w:rsid w:val="0016697B"/>
    <w:rsid w:val="00176A1F"/>
    <w:rsid w:val="00177D31"/>
    <w:rsid w:val="0019177A"/>
    <w:rsid w:val="00193149"/>
    <w:rsid w:val="00196B81"/>
    <w:rsid w:val="001A79B0"/>
    <w:rsid w:val="001A7D21"/>
    <w:rsid w:val="001B1964"/>
    <w:rsid w:val="001C001A"/>
    <w:rsid w:val="001C0353"/>
    <w:rsid w:val="001C543E"/>
    <w:rsid w:val="001C7FD2"/>
    <w:rsid w:val="001D0C2D"/>
    <w:rsid w:val="001D551F"/>
    <w:rsid w:val="001D71A9"/>
    <w:rsid w:val="001F1036"/>
    <w:rsid w:val="001F1BAC"/>
    <w:rsid w:val="002064E0"/>
    <w:rsid w:val="0021350B"/>
    <w:rsid w:val="00226E13"/>
    <w:rsid w:val="00234564"/>
    <w:rsid w:val="002354BE"/>
    <w:rsid w:val="00235A5B"/>
    <w:rsid w:val="00236877"/>
    <w:rsid w:val="00251224"/>
    <w:rsid w:val="00257FF2"/>
    <w:rsid w:val="00266642"/>
    <w:rsid w:val="00267C74"/>
    <w:rsid w:val="0027101C"/>
    <w:rsid w:val="00286005"/>
    <w:rsid w:val="00293AEE"/>
    <w:rsid w:val="002A7FE8"/>
    <w:rsid w:val="002B5B29"/>
    <w:rsid w:val="002C3774"/>
    <w:rsid w:val="002E0DD0"/>
    <w:rsid w:val="002E1A00"/>
    <w:rsid w:val="002E4F22"/>
    <w:rsid w:val="002E566E"/>
    <w:rsid w:val="002E7FC5"/>
    <w:rsid w:val="002F4982"/>
    <w:rsid w:val="00304E94"/>
    <w:rsid w:val="00311CFA"/>
    <w:rsid w:val="00322BAF"/>
    <w:rsid w:val="00326CB7"/>
    <w:rsid w:val="00336FB7"/>
    <w:rsid w:val="003505D2"/>
    <w:rsid w:val="0035131A"/>
    <w:rsid w:val="0035679B"/>
    <w:rsid w:val="00356BC7"/>
    <w:rsid w:val="0036569E"/>
    <w:rsid w:val="00367355"/>
    <w:rsid w:val="00371078"/>
    <w:rsid w:val="003841C5"/>
    <w:rsid w:val="003A4077"/>
    <w:rsid w:val="003A7FA9"/>
    <w:rsid w:val="003B3DFE"/>
    <w:rsid w:val="003B7583"/>
    <w:rsid w:val="003C014F"/>
    <w:rsid w:val="003C218D"/>
    <w:rsid w:val="003C2A66"/>
    <w:rsid w:val="003C4506"/>
    <w:rsid w:val="003C4DC7"/>
    <w:rsid w:val="003C7F91"/>
    <w:rsid w:val="003D30F4"/>
    <w:rsid w:val="003D792F"/>
    <w:rsid w:val="003E5543"/>
    <w:rsid w:val="003E6301"/>
    <w:rsid w:val="003E7AA7"/>
    <w:rsid w:val="003E7EA2"/>
    <w:rsid w:val="00403CFC"/>
    <w:rsid w:val="00413B44"/>
    <w:rsid w:val="00414DB4"/>
    <w:rsid w:val="00416869"/>
    <w:rsid w:val="00423A02"/>
    <w:rsid w:val="0042793A"/>
    <w:rsid w:val="00430DD3"/>
    <w:rsid w:val="004340EF"/>
    <w:rsid w:val="00435FB3"/>
    <w:rsid w:val="00441A77"/>
    <w:rsid w:val="004449BD"/>
    <w:rsid w:val="00450D3E"/>
    <w:rsid w:val="004570B8"/>
    <w:rsid w:val="00465A26"/>
    <w:rsid w:val="00470734"/>
    <w:rsid w:val="00471402"/>
    <w:rsid w:val="00480434"/>
    <w:rsid w:val="00485DB6"/>
    <w:rsid w:val="00492710"/>
    <w:rsid w:val="004A0752"/>
    <w:rsid w:val="004A127A"/>
    <w:rsid w:val="004B1659"/>
    <w:rsid w:val="004B40A7"/>
    <w:rsid w:val="004B65D9"/>
    <w:rsid w:val="004D38F3"/>
    <w:rsid w:val="004D472C"/>
    <w:rsid w:val="004E0E40"/>
    <w:rsid w:val="004E7E8E"/>
    <w:rsid w:val="00501352"/>
    <w:rsid w:val="005063A3"/>
    <w:rsid w:val="00507CC1"/>
    <w:rsid w:val="005108C2"/>
    <w:rsid w:val="00513AEE"/>
    <w:rsid w:val="00517CF7"/>
    <w:rsid w:val="005266CF"/>
    <w:rsid w:val="005356E1"/>
    <w:rsid w:val="005425DA"/>
    <w:rsid w:val="00545FEE"/>
    <w:rsid w:val="00562E13"/>
    <w:rsid w:val="005843BC"/>
    <w:rsid w:val="00592132"/>
    <w:rsid w:val="005931E8"/>
    <w:rsid w:val="00595BD5"/>
    <w:rsid w:val="0059799A"/>
    <w:rsid w:val="005B1FC7"/>
    <w:rsid w:val="005B40EE"/>
    <w:rsid w:val="005C1451"/>
    <w:rsid w:val="005C7A4D"/>
    <w:rsid w:val="005D72D9"/>
    <w:rsid w:val="005E4920"/>
    <w:rsid w:val="005F7587"/>
    <w:rsid w:val="005F7F7F"/>
    <w:rsid w:val="00617BB0"/>
    <w:rsid w:val="00622FD0"/>
    <w:rsid w:val="00623725"/>
    <w:rsid w:val="00625EDC"/>
    <w:rsid w:val="00631329"/>
    <w:rsid w:val="00631915"/>
    <w:rsid w:val="006326C7"/>
    <w:rsid w:val="006413E0"/>
    <w:rsid w:val="0065018D"/>
    <w:rsid w:val="006633AB"/>
    <w:rsid w:val="00671546"/>
    <w:rsid w:val="00672DBA"/>
    <w:rsid w:val="006A1513"/>
    <w:rsid w:val="006B0482"/>
    <w:rsid w:val="006B2400"/>
    <w:rsid w:val="006B4FD9"/>
    <w:rsid w:val="006C2B90"/>
    <w:rsid w:val="006C48E3"/>
    <w:rsid w:val="006D0DA9"/>
    <w:rsid w:val="006D1C71"/>
    <w:rsid w:val="006D4C83"/>
    <w:rsid w:val="006E684B"/>
    <w:rsid w:val="006F4716"/>
    <w:rsid w:val="006F4882"/>
    <w:rsid w:val="006F72A1"/>
    <w:rsid w:val="006F7C73"/>
    <w:rsid w:val="007044FC"/>
    <w:rsid w:val="00714007"/>
    <w:rsid w:val="0071671D"/>
    <w:rsid w:val="007216A5"/>
    <w:rsid w:val="0074304D"/>
    <w:rsid w:val="00745489"/>
    <w:rsid w:val="007569CD"/>
    <w:rsid w:val="0076191E"/>
    <w:rsid w:val="00767597"/>
    <w:rsid w:val="00770E4B"/>
    <w:rsid w:val="0078529F"/>
    <w:rsid w:val="00786219"/>
    <w:rsid w:val="007A2253"/>
    <w:rsid w:val="007B57BD"/>
    <w:rsid w:val="007B6B5C"/>
    <w:rsid w:val="007C4AC3"/>
    <w:rsid w:val="007D3592"/>
    <w:rsid w:val="007F5528"/>
    <w:rsid w:val="00805799"/>
    <w:rsid w:val="00810D39"/>
    <w:rsid w:val="008117C9"/>
    <w:rsid w:val="0081657E"/>
    <w:rsid w:val="00853DD1"/>
    <w:rsid w:val="008545B9"/>
    <w:rsid w:val="00862595"/>
    <w:rsid w:val="00864E91"/>
    <w:rsid w:val="0087334A"/>
    <w:rsid w:val="00881683"/>
    <w:rsid w:val="008934E6"/>
    <w:rsid w:val="008A1AAF"/>
    <w:rsid w:val="008A4665"/>
    <w:rsid w:val="008B32A7"/>
    <w:rsid w:val="008E3661"/>
    <w:rsid w:val="008E39F8"/>
    <w:rsid w:val="008F1E3A"/>
    <w:rsid w:val="009048A5"/>
    <w:rsid w:val="00914A11"/>
    <w:rsid w:val="00934551"/>
    <w:rsid w:val="0093597E"/>
    <w:rsid w:val="009419B3"/>
    <w:rsid w:val="00952B1D"/>
    <w:rsid w:val="00956AC5"/>
    <w:rsid w:val="00992CA0"/>
    <w:rsid w:val="009C12E0"/>
    <w:rsid w:val="009C19D6"/>
    <w:rsid w:val="009C5687"/>
    <w:rsid w:val="009E0A5F"/>
    <w:rsid w:val="009E299D"/>
    <w:rsid w:val="009F073E"/>
    <w:rsid w:val="009F2835"/>
    <w:rsid w:val="00A05DDD"/>
    <w:rsid w:val="00A07F80"/>
    <w:rsid w:val="00A115A7"/>
    <w:rsid w:val="00A13B78"/>
    <w:rsid w:val="00A15206"/>
    <w:rsid w:val="00A158E5"/>
    <w:rsid w:val="00A23C9B"/>
    <w:rsid w:val="00A452E8"/>
    <w:rsid w:val="00A4754F"/>
    <w:rsid w:val="00A54572"/>
    <w:rsid w:val="00A61AC0"/>
    <w:rsid w:val="00A70FE8"/>
    <w:rsid w:val="00A83B39"/>
    <w:rsid w:val="00A95B71"/>
    <w:rsid w:val="00AB0191"/>
    <w:rsid w:val="00AB35D3"/>
    <w:rsid w:val="00AC286B"/>
    <w:rsid w:val="00AC65BE"/>
    <w:rsid w:val="00AD6390"/>
    <w:rsid w:val="00AE1993"/>
    <w:rsid w:val="00AF6DA8"/>
    <w:rsid w:val="00B01BD3"/>
    <w:rsid w:val="00B01F7A"/>
    <w:rsid w:val="00B10C9F"/>
    <w:rsid w:val="00B110E2"/>
    <w:rsid w:val="00B133E1"/>
    <w:rsid w:val="00B153F5"/>
    <w:rsid w:val="00B234E6"/>
    <w:rsid w:val="00B25668"/>
    <w:rsid w:val="00B309B5"/>
    <w:rsid w:val="00B32DA3"/>
    <w:rsid w:val="00B4572C"/>
    <w:rsid w:val="00B526E3"/>
    <w:rsid w:val="00B54477"/>
    <w:rsid w:val="00B70E95"/>
    <w:rsid w:val="00B721E5"/>
    <w:rsid w:val="00B73A1F"/>
    <w:rsid w:val="00B758AA"/>
    <w:rsid w:val="00B77764"/>
    <w:rsid w:val="00B85806"/>
    <w:rsid w:val="00B97720"/>
    <w:rsid w:val="00BC6357"/>
    <w:rsid w:val="00BD45D0"/>
    <w:rsid w:val="00BE0E0E"/>
    <w:rsid w:val="00BE4BF2"/>
    <w:rsid w:val="00BF3F4E"/>
    <w:rsid w:val="00BF6864"/>
    <w:rsid w:val="00C11BE6"/>
    <w:rsid w:val="00C4271F"/>
    <w:rsid w:val="00C53653"/>
    <w:rsid w:val="00C55BAE"/>
    <w:rsid w:val="00C57F1E"/>
    <w:rsid w:val="00C639F4"/>
    <w:rsid w:val="00C66081"/>
    <w:rsid w:val="00C956BA"/>
    <w:rsid w:val="00C963C5"/>
    <w:rsid w:val="00C96F6D"/>
    <w:rsid w:val="00CB290B"/>
    <w:rsid w:val="00CB454D"/>
    <w:rsid w:val="00CC6CF6"/>
    <w:rsid w:val="00CD7B38"/>
    <w:rsid w:val="00CE6859"/>
    <w:rsid w:val="00CE7EC3"/>
    <w:rsid w:val="00D0550F"/>
    <w:rsid w:val="00D05B01"/>
    <w:rsid w:val="00D06231"/>
    <w:rsid w:val="00D149A3"/>
    <w:rsid w:val="00D312DF"/>
    <w:rsid w:val="00D339F7"/>
    <w:rsid w:val="00D35656"/>
    <w:rsid w:val="00D51441"/>
    <w:rsid w:val="00D6452F"/>
    <w:rsid w:val="00D6503D"/>
    <w:rsid w:val="00D65EFF"/>
    <w:rsid w:val="00D841FA"/>
    <w:rsid w:val="00DA4AFA"/>
    <w:rsid w:val="00DB727D"/>
    <w:rsid w:val="00DD249A"/>
    <w:rsid w:val="00DD6412"/>
    <w:rsid w:val="00DE0411"/>
    <w:rsid w:val="00DE2D9D"/>
    <w:rsid w:val="00DE36CA"/>
    <w:rsid w:val="00DE3E22"/>
    <w:rsid w:val="00DE4D26"/>
    <w:rsid w:val="00DF59EA"/>
    <w:rsid w:val="00DF79DF"/>
    <w:rsid w:val="00E11CCD"/>
    <w:rsid w:val="00E21B78"/>
    <w:rsid w:val="00E26D78"/>
    <w:rsid w:val="00E317DC"/>
    <w:rsid w:val="00E437C0"/>
    <w:rsid w:val="00E60F81"/>
    <w:rsid w:val="00E76B6E"/>
    <w:rsid w:val="00E82A4C"/>
    <w:rsid w:val="00E92DDF"/>
    <w:rsid w:val="00EA3FE3"/>
    <w:rsid w:val="00EA42BF"/>
    <w:rsid w:val="00EB3928"/>
    <w:rsid w:val="00EC3891"/>
    <w:rsid w:val="00EC7236"/>
    <w:rsid w:val="00EF336A"/>
    <w:rsid w:val="00EF58AF"/>
    <w:rsid w:val="00F04E8A"/>
    <w:rsid w:val="00F20A38"/>
    <w:rsid w:val="00F20CE0"/>
    <w:rsid w:val="00F32CDD"/>
    <w:rsid w:val="00F33CCB"/>
    <w:rsid w:val="00F50666"/>
    <w:rsid w:val="00F56219"/>
    <w:rsid w:val="00F62744"/>
    <w:rsid w:val="00F654BD"/>
    <w:rsid w:val="00F83D29"/>
    <w:rsid w:val="00F90B7E"/>
    <w:rsid w:val="00F91F60"/>
    <w:rsid w:val="00F969CC"/>
    <w:rsid w:val="00FA465C"/>
    <w:rsid w:val="00FA7C9A"/>
    <w:rsid w:val="00FB1E85"/>
    <w:rsid w:val="00FC6D1E"/>
    <w:rsid w:val="00FD517A"/>
    <w:rsid w:val="00FD58EC"/>
    <w:rsid w:val="00FE032E"/>
    <w:rsid w:val="00FF230B"/>
    <w:rsid w:val="00FF4DF1"/>
    <w:rsid w:val="00FF7DE3"/>
    <w:rsid w:val="04BF70D0"/>
    <w:rsid w:val="17BA264A"/>
    <w:rsid w:val="5657C394"/>
    <w:rsid w:val="73F69461"/>
    <w:rsid w:val="7E7CA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6DA5A3"/>
  <w15:chartTrackingRefBased/>
  <w15:docId w15:val="{449480E6-CB93-4ABC-BAAA-7F66E59F3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721E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5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1686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4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459F"/>
  </w:style>
  <w:style w:type="paragraph" w:styleId="Footer">
    <w:name w:val="footer"/>
    <w:basedOn w:val="Normal"/>
    <w:link w:val="FooterChar"/>
    <w:uiPriority w:val="99"/>
    <w:unhideWhenUsed/>
    <w:rsid w:val="001045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459F"/>
  </w:style>
  <w:style w:type="table" w:styleId="TableGridLight">
    <w:name w:val="Grid Table Light"/>
    <w:basedOn w:val="TableNormal"/>
    <w:uiPriority w:val="40"/>
    <w:rsid w:val="008117C9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Grid">
    <w:name w:val="Table Grid"/>
    <w:basedOn w:val="TableNormal"/>
    <w:rsid w:val="00C956BA"/>
    <w:pPr>
      <w:spacing w:after="0" w:line="240" w:lineRule="auto"/>
    </w:pPr>
    <w:rPr>
      <w:kern w:val="0"/>
      <w:sz w:val="24"/>
      <w:szCs w:val="24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evel 1"/>
    <w:basedOn w:val="Normal"/>
    <w:link w:val="ListParagraphChar"/>
    <w:uiPriority w:val="34"/>
    <w:qFormat/>
    <w:rsid w:val="00144B45"/>
    <w:pPr>
      <w:spacing w:after="0" w:line="240" w:lineRule="auto"/>
      <w:ind w:left="720"/>
    </w:pPr>
    <w:rPr>
      <w:rFonts w:ascii="Calibri" w:hAnsi="Calibri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F20CE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0CE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F1BAC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721E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E554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itleClause">
    <w:name w:val="Title Clause"/>
    <w:basedOn w:val="Normal"/>
    <w:rsid w:val="00FB1E85"/>
    <w:pPr>
      <w:keepNext/>
      <w:numPr>
        <w:numId w:val="14"/>
      </w:numPr>
      <w:spacing w:before="240" w:after="240" w:line="300" w:lineRule="atLeast"/>
      <w:jc w:val="both"/>
      <w:outlineLvl w:val="0"/>
    </w:pPr>
    <w:rPr>
      <w:rFonts w:ascii="Arial" w:eastAsia="Arial Unicode MS" w:hAnsi="Arial" w:cs="Arial"/>
      <w:b/>
      <w:color w:val="000000"/>
      <w:kern w:val="28"/>
      <w:szCs w:val="20"/>
      <w14:ligatures w14:val="none"/>
    </w:rPr>
  </w:style>
  <w:style w:type="paragraph" w:customStyle="1" w:styleId="Untitledsubclause1">
    <w:name w:val="Untitled subclause 1"/>
    <w:basedOn w:val="Normal"/>
    <w:rsid w:val="00FB1E85"/>
    <w:pPr>
      <w:numPr>
        <w:ilvl w:val="1"/>
        <w:numId w:val="14"/>
      </w:numPr>
      <w:spacing w:before="280" w:after="120" w:line="300" w:lineRule="atLeast"/>
      <w:jc w:val="both"/>
      <w:outlineLvl w:val="1"/>
    </w:pPr>
    <w:rPr>
      <w:rFonts w:ascii="Arial" w:eastAsia="Arial Unicode MS" w:hAnsi="Arial" w:cs="Arial"/>
      <w:color w:val="000000"/>
      <w:kern w:val="0"/>
      <w:szCs w:val="20"/>
      <w14:ligatures w14:val="none"/>
    </w:rPr>
  </w:style>
  <w:style w:type="paragraph" w:customStyle="1" w:styleId="Untitledsubclause2">
    <w:name w:val="Untitled subclause 2"/>
    <w:basedOn w:val="Normal"/>
    <w:rsid w:val="00FB1E85"/>
    <w:pPr>
      <w:numPr>
        <w:ilvl w:val="2"/>
        <w:numId w:val="14"/>
      </w:numPr>
      <w:spacing w:after="120" w:line="300" w:lineRule="atLeast"/>
      <w:jc w:val="both"/>
      <w:outlineLvl w:val="2"/>
    </w:pPr>
    <w:rPr>
      <w:rFonts w:ascii="Arial" w:eastAsia="Arial Unicode MS" w:hAnsi="Arial" w:cs="Arial"/>
      <w:color w:val="000000"/>
      <w:kern w:val="0"/>
      <w:szCs w:val="20"/>
      <w14:ligatures w14:val="none"/>
    </w:rPr>
  </w:style>
  <w:style w:type="paragraph" w:customStyle="1" w:styleId="Untitledsubclause3">
    <w:name w:val="Untitled subclause 3"/>
    <w:basedOn w:val="Normal"/>
    <w:rsid w:val="00FB1E85"/>
    <w:pPr>
      <w:numPr>
        <w:ilvl w:val="3"/>
        <w:numId w:val="14"/>
      </w:numPr>
      <w:tabs>
        <w:tab w:val="left" w:pos="2261"/>
      </w:tabs>
      <w:spacing w:after="120" w:line="300" w:lineRule="atLeast"/>
      <w:jc w:val="both"/>
      <w:outlineLvl w:val="3"/>
    </w:pPr>
    <w:rPr>
      <w:rFonts w:ascii="Arial" w:eastAsia="Arial Unicode MS" w:hAnsi="Arial" w:cs="Arial"/>
      <w:color w:val="000000"/>
      <w:kern w:val="0"/>
      <w:szCs w:val="20"/>
      <w14:ligatures w14:val="none"/>
    </w:rPr>
  </w:style>
  <w:style w:type="paragraph" w:customStyle="1" w:styleId="Untitledsubclause4">
    <w:name w:val="Untitled subclause 4"/>
    <w:basedOn w:val="Normal"/>
    <w:rsid w:val="00FB1E85"/>
    <w:pPr>
      <w:numPr>
        <w:ilvl w:val="4"/>
        <w:numId w:val="14"/>
      </w:numPr>
      <w:spacing w:after="120" w:line="300" w:lineRule="atLeast"/>
      <w:jc w:val="both"/>
      <w:outlineLvl w:val="4"/>
    </w:pPr>
    <w:rPr>
      <w:rFonts w:ascii="Arial" w:eastAsia="Arial Unicode MS" w:hAnsi="Arial" w:cs="Arial"/>
      <w:color w:val="000000"/>
      <w:kern w:val="0"/>
      <w:szCs w:val="20"/>
      <w14:ligatures w14:val="none"/>
    </w:rPr>
  </w:style>
  <w:style w:type="character" w:customStyle="1" w:styleId="ListParagraphChar">
    <w:name w:val="List Paragraph Char"/>
    <w:aliases w:val="Bullet Level 1 Char"/>
    <w:basedOn w:val="DefaultParagraphFont"/>
    <w:link w:val="ListParagraph"/>
    <w:uiPriority w:val="34"/>
    <w:rsid w:val="00FB1E85"/>
    <w:rPr>
      <w:rFonts w:ascii="Calibri" w:hAnsi="Calibri" w:cs="Times New Roman"/>
      <w:kern w:val="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41686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94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1B42AA5E6F6A45A4AC6D7B265F5941" ma:contentTypeVersion="18" ma:contentTypeDescription="Create a new document." ma:contentTypeScope="" ma:versionID="b3dd066cddb8d8a234c040bc96c74be6">
  <xsd:schema xmlns:xsd="http://www.w3.org/2001/XMLSchema" xmlns:xs="http://www.w3.org/2001/XMLSchema" xmlns:p="http://schemas.microsoft.com/office/2006/metadata/properties" xmlns:ns2="73cd372e-79c9-485f-be0d-2a3aeaf2d3eb" xmlns:ns3="34195a5d-4a20-435c-b31d-f26190cccbce" targetNamespace="http://schemas.microsoft.com/office/2006/metadata/properties" ma:root="true" ma:fieldsID="f70aa0a3e382e5227fcaa85165f1006b" ns2:_="" ns3:_="">
    <xsd:import namespace="73cd372e-79c9-485f-be0d-2a3aeaf2d3eb"/>
    <xsd:import namespace="34195a5d-4a20-435c-b31d-f26190cccbc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cd372e-79c9-485f-be0d-2a3aeaf2d3e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231323b-da83-4dc0-802a-b22756523b3a}" ma:internalName="TaxCatchAll" ma:showField="CatchAllData" ma:web="73cd372e-79c9-485f-be0d-2a3aeaf2d3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95a5d-4a20-435c-b31d-f26190cccb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2e8cf42-a916-4230-98b2-7f86ba36e7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4195a5d-4a20-435c-b31d-f26190cccbce">
      <Terms xmlns="http://schemas.microsoft.com/office/infopath/2007/PartnerControls"/>
    </lcf76f155ced4ddcb4097134ff3c332f>
    <TaxCatchAll xmlns="73cd372e-79c9-485f-be0d-2a3aeaf2d3e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7D5DF8-9E4D-41AC-81C8-80FB3BB3D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3cd372e-79c9-485f-be0d-2a3aeaf2d3eb"/>
    <ds:schemaRef ds:uri="34195a5d-4a20-435c-b31d-f26190cccb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8D519AF-A5EA-48D1-86CC-50AD649BCB8E}">
  <ds:schemaRefs>
    <ds:schemaRef ds:uri="http://schemas.microsoft.com/office/2006/metadata/properties"/>
    <ds:schemaRef ds:uri="http://schemas.microsoft.com/office/infopath/2007/PartnerControls"/>
    <ds:schemaRef ds:uri="34195a5d-4a20-435c-b31d-f26190cccbce"/>
    <ds:schemaRef ds:uri="73cd372e-79c9-485f-be0d-2a3aeaf2d3eb"/>
  </ds:schemaRefs>
</ds:datastoreItem>
</file>

<file path=customXml/itemProps3.xml><?xml version="1.0" encoding="utf-8"?>
<ds:datastoreItem xmlns:ds="http://schemas.openxmlformats.org/officeDocument/2006/customXml" ds:itemID="{5D4F03EE-3530-459E-A291-638699FC95B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641</Words>
  <Characters>3657</Characters>
  <Application>Microsoft Office Word</Application>
  <DocSecurity>0</DocSecurity>
  <Lines>30</Lines>
  <Paragraphs>8</Paragraphs>
  <ScaleCrop>false</ScaleCrop>
  <Company/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Keegan</dc:creator>
  <cp:keywords/>
  <dc:description/>
  <cp:lastModifiedBy>Clair Payne</cp:lastModifiedBy>
  <cp:revision>268</cp:revision>
  <dcterms:created xsi:type="dcterms:W3CDTF">2023-08-15T15:04:00Z</dcterms:created>
  <dcterms:modified xsi:type="dcterms:W3CDTF">2025-04-08T19:58:00Z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0x010100C91B42AA5E6F6A45A4AC6D7B265F5941</vt:lpwstr>
  </property>
  <property fmtid="{D5CDD505-2E9C-101B-9397-08002B2CF9AE}" pid="3" name="MediaServiceImageTags">
    <vt:lpwstr/>
  </property>
</Properties>
</file>